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DBB51" w14:textId="77777777" w:rsidR="00306263" w:rsidRPr="000E4110" w:rsidRDefault="00306263">
      <w:pPr>
        <w:rPr>
          <w:b/>
          <w:sz w:val="24"/>
          <w:szCs w:val="24"/>
        </w:rPr>
      </w:pPr>
      <w:r w:rsidRPr="000E4110">
        <w:rPr>
          <w:b/>
          <w:sz w:val="24"/>
          <w:szCs w:val="24"/>
        </w:rPr>
        <w:t>Mortgage Documents</w:t>
      </w:r>
    </w:p>
    <w:p w14:paraId="73080DAE" w14:textId="77777777" w:rsidR="00306263" w:rsidRPr="000E4110" w:rsidRDefault="00306263">
      <w:pPr>
        <w:rPr>
          <w:b/>
          <w:sz w:val="24"/>
          <w:szCs w:val="24"/>
        </w:rPr>
      </w:pPr>
    </w:p>
    <w:p w14:paraId="1701C4C6" w14:textId="77777777" w:rsidR="00306263" w:rsidRPr="000E4110" w:rsidRDefault="00306263">
      <w:pPr>
        <w:rPr>
          <w:b/>
          <w:sz w:val="24"/>
          <w:szCs w:val="24"/>
        </w:rPr>
      </w:pPr>
      <w:r w:rsidRPr="000E4110">
        <w:rPr>
          <w:b/>
          <w:sz w:val="24"/>
          <w:szCs w:val="24"/>
        </w:rPr>
        <w:t>Texas Home Equity Security Instrument (First Lien) - Fannie Mae/Freddie Mac UNIFORM INSTRUMENT (Form 3044.1)</w:t>
      </w:r>
    </w:p>
    <w:p w14:paraId="39E69D72" w14:textId="77777777" w:rsidR="00306263" w:rsidRPr="000E4110" w:rsidRDefault="00306263">
      <w:pPr>
        <w:rPr>
          <w:b/>
          <w:sz w:val="24"/>
          <w:szCs w:val="24"/>
        </w:rPr>
      </w:pPr>
    </w:p>
    <w:p w14:paraId="5F32FD1F" w14:textId="550AD5C2" w:rsidR="00306263" w:rsidRPr="00883E66" w:rsidRDefault="00306263" w:rsidP="00045DF3">
      <w:pPr>
        <w:tabs>
          <w:tab w:val="left" w:pos="5040"/>
        </w:tabs>
        <w:rPr>
          <w:b/>
          <w:sz w:val="24"/>
          <w:szCs w:val="24"/>
        </w:rPr>
      </w:pPr>
      <w:r w:rsidRPr="00883E66">
        <w:rPr>
          <w:b/>
          <w:sz w:val="24"/>
          <w:szCs w:val="24"/>
        </w:rPr>
        <w:t>Type of Instrument</w:t>
      </w:r>
      <w:r w:rsidRPr="00883E66">
        <w:rPr>
          <w:b/>
          <w:sz w:val="24"/>
          <w:szCs w:val="24"/>
        </w:rPr>
        <w:tab/>
      </w:r>
      <w:proofErr w:type="spellStart"/>
      <w:r w:rsidRPr="00883E66">
        <w:rPr>
          <w:b/>
          <w:sz w:val="24"/>
          <w:szCs w:val="24"/>
        </w:rPr>
        <w:t>Instrument</w:t>
      </w:r>
      <w:proofErr w:type="spellEnd"/>
      <w:r w:rsidRPr="00883E66">
        <w:rPr>
          <w:b/>
          <w:sz w:val="24"/>
          <w:szCs w:val="24"/>
        </w:rPr>
        <w:t xml:space="preserve"> Revision Date</w:t>
      </w:r>
    </w:p>
    <w:p w14:paraId="42257EE1" w14:textId="2FA32DA1" w:rsidR="00306263" w:rsidRPr="00883E66" w:rsidRDefault="00306263" w:rsidP="000E4110">
      <w:pPr>
        <w:tabs>
          <w:tab w:val="left" w:pos="5040"/>
        </w:tabs>
        <w:rPr>
          <w:sz w:val="24"/>
          <w:szCs w:val="24"/>
        </w:rPr>
      </w:pPr>
      <w:r w:rsidRPr="00883E66">
        <w:rPr>
          <w:sz w:val="24"/>
          <w:szCs w:val="24"/>
        </w:rPr>
        <w:t>Home Equity Security Instrument</w:t>
      </w:r>
      <w:r w:rsidRPr="00883E66">
        <w:rPr>
          <w:sz w:val="24"/>
          <w:szCs w:val="24"/>
        </w:rPr>
        <w:tab/>
      </w:r>
      <w:r w:rsidR="007F4067" w:rsidRPr="00883E66">
        <w:rPr>
          <w:sz w:val="24"/>
          <w:szCs w:val="24"/>
        </w:rPr>
        <w:t>07/2021</w:t>
      </w:r>
      <w:r w:rsidR="00AF74A2" w:rsidRPr="00883E66">
        <w:rPr>
          <w:sz w:val="24"/>
          <w:szCs w:val="24"/>
        </w:rPr>
        <w:t>(r</w:t>
      </w:r>
      <w:r w:rsidR="008B5737" w:rsidRPr="00883E66">
        <w:rPr>
          <w:sz w:val="24"/>
          <w:szCs w:val="24"/>
        </w:rPr>
        <w:t>ev. 0</w:t>
      </w:r>
      <w:r w:rsidR="00282696">
        <w:rPr>
          <w:sz w:val="24"/>
          <w:szCs w:val="24"/>
        </w:rPr>
        <w:t>3</w:t>
      </w:r>
      <w:r w:rsidR="008B5737" w:rsidRPr="00883E66">
        <w:rPr>
          <w:sz w:val="24"/>
          <w:szCs w:val="24"/>
        </w:rPr>
        <w:t>/2</w:t>
      </w:r>
      <w:r w:rsidR="00883E66">
        <w:rPr>
          <w:sz w:val="24"/>
          <w:szCs w:val="24"/>
        </w:rPr>
        <w:t>3</w:t>
      </w:r>
      <w:r w:rsidR="008B5737" w:rsidRPr="00883E66">
        <w:rPr>
          <w:sz w:val="24"/>
          <w:szCs w:val="24"/>
        </w:rPr>
        <w:t>)</w:t>
      </w:r>
    </w:p>
    <w:p w14:paraId="338157CE" w14:textId="77777777" w:rsidR="00306263" w:rsidRPr="000E4110" w:rsidRDefault="00306263" w:rsidP="003D440E">
      <w:pPr>
        <w:tabs>
          <w:tab w:val="left" w:pos="4680"/>
        </w:tabs>
        <w:rPr>
          <w:sz w:val="24"/>
          <w:szCs w:val="24"/>
        </w:rPr>
      </w:pPr>
    </w:p>
    <w:p w14:paraId="04123A0E" w14:textId="1933031B" w:rsidR="00306263" w:rsidRPr="00883E66" w:rsidRDefault="00306263" w:rsidP="00045DF3">
      <w:pPr>
        <w:tabs>
          <w:tab w:val="left" w:pos="5040"/>
        </w:tabs>
        <w:rPr>
          <w:b/>
          <w:sz w:val="24"/>
          <w:szCs w:val="24"/>
        </w:rPr>
      </w:pPr>
      <w:r w:rsidRPr="00883E66">
        <w:rPr>
          <w:b/>
          <w:sz w:val="24"/>
          <w:szCs w:val="24"/>
        </w:rPr>
        <w:t>Instrument Last Modified</w:t>
      </w:r>
      <w:r w:rsidRPr="00883E66">
        <w:rPr>
          <w:b/>
          <w:sz w:val="24"/>
          <w:szCs w:val="24"/>
        </w:rPr>
        <w:tab/>
      </w:r>
      <w:r w:rsidR="008C0ED5" w:rsidRPr="00883E66">
        <w:rPr>
          <w:b/>
          <w:sz w:val="24"/>
          <w:szCs w:val="24"/>
        </w:rPr>
        <w:t>Instruction</w:t>
      </w:r>
      <w:r w:rsidRPr="00883E66">
        <w:rPr>
          <w:b/>
          <w:sz w:val="24"/>
          <w:szCs w:val="24"/>
        </w:rPr>
        <w:t xml:space="preserve"> Page Last Modified</w:t>
      </w:r>
    </w:p>
    <w:p w14:paraId="5DA6C451" w14:textId="1B23BA8D" w:rsidR="007F4067" w:rsidRPr="00883E66" w:rsidRDefault="008B5737" w:rsidP="00045DF3">
      <w:pPr>
        <w:tabs>
          <w:tab w:val="left" w:pos="5040"/>
        </w:tabs>
        <w:rPr>
          <w:bCs/>
          <w:sz w:val="24"/>
          <w:szCs w:val="24"/>
        </w:rPr>
      </w:pPr>
      <w:r w:rsidRPr="00883E66">
        <w:rPr>
          <w:bCs/>
          <w:sz w:val="24"/>
          <w:szCs w:val="24"/>
        </w:rPr>
        <w:t>0</w:t>
      </w:r>
      <w:r w:rsidR="00D93099" w:rsidRPr="00883E66">
        <w:rPr>
          <w:bCs/>
          <w:sz w:val="24"/>
          <w:szCs w:val="24"/>
        </w:rPr>
        <w:t>7</w:t>
      </w:r>
      <w:r w:rsidRPr="00883E66">
        <w:rPr>
          <w:bCs/>
          <w:sz w:val="24"/>
          <w:szCs w:val="24"/>
        </w:rPr>
        <w:t>/</w:t>
      </w:r>
      <w:r w:rsidR="00402995">
        <w:rPr>
          <w:bCs/>
          <w:sz w:val="24"/>
          <w:szCs w:val="24"/>
        </w:rPr>
        <w:t>20</w:t>
      </w:r>
      <w:r w:rsidRPr="00883E66">
        <w:rPr>
          <w:bCs/>
          <w:sz w:val="24"/>
          <w:szCs w:val="24"/>
        </w:rPr>
        <w:t xml:space="preserve">22 </w:t>
      </w:r>
      <w:r w:rsidR="00013AE4" w:rsidRPr="00883E66">
        <w:rPr>
          <w:bCs/>
          <w:sz w:val="24"/>
          <w:szCs w:val="24"/>
        </w:rPr>
        <w:t>(</w:t>
      </w:r>
      <w:r w:rsidR="00D718E6" w:rsidRPr="00883E66">
        <w:rPr>
          <w:bCs/>
          <w:sz w:val="24"/>
          <w:szCs w:val="24"/>
        </w:rPr>
        <w:t>Various edits</w:t>
      </w:r>
      <w:r w:rsidR="00013AE4" w:rsidRPr="00883E66">
        <w:rPr>
          <w:bCs/>
          <w:sz w:val="24"/>
          <w:szCs w:val="24"/>
        </w:rPr>
        <w:t>)</w:t>
      </w:r>
      <w:r w:rsidR="007F4067" w:rsidRPr="00883E66">
        <w:rPr>
          <w:bCs/>
          <w:sz w:val="24"/>
          <w:szCs w:val="24"/>
        </w:rPr>
        <w:tab/>
      </w:r>
      <w:r w:rsidR="00EC2C2B" w:rsidRPr="00883E66">
        <w:rPr>
          <w:bCs/>
          <w:sz w:val="24"/>
          <w:szCs w:val="24"/>
        </w:rPr>
        <w:t>09/</w:t>
      </w:r>
      <w:r w:rsidR="00402995">
        <w:rPr>
          <w:bCs/>
          <w:sz w:val="24"/>
          <w:szCs w:val="24"/>
        </w:rPr>
        <w:t>20</w:t>
      </w:r>
      <w:r w:rsidR="00EC2C2B" w:rsidRPr="00883E66">
        <w:rPr>
          <w:bCs/>
          <w:sz w:val="24"/>
          <w:szCs w:val="24"/>
        </w:rPr>
        <w:t>22 (</w:t>
      </w:r>
      <w:r w:rsidR="00C65073" w:rsidRPr="00883E66">
        <w:rPr>
          <w:bCs/>
          <w:sz w:val="24"/>
          <w:szCs w:val="24"/>
        </w:rPr>
        <w:t xml:space="preserve">Authorized </w:t>
      </w:r>
      <w:r w:rsidR="00402995">
        <w:rPr>
          <w:bCs/>
          <w:sz w:val="24"/>
          <w:szCs w:val="24"/>
        </w:rPr>
        <w:t>C</w:t>
      </w:r>
      <w:r w:rsidR="00C65073" w:rsidRPr="00883E66">
        <w:rPr>
          <w:bCs/>
          <w:sz w:val="24"/>
          <w:szCs w:val="24"/>
        </w:rPr>
        <w:t>hange</w:t>
      </w:r>
      <w:r w:rsidR="00EC2C2B" w:rsidRPr="00883E66">
        <w:rPr>
          <w:bCs/>
          <w:sz w:val="24"/>
          <w:szCs w:val="24"/>
        </w:rPr>
        <w:t xml:space="preserve"> </w:t>
      </w:r>
      <w:r w:rsidR="008E0088" w:rsidRPr="00883E66">
        <w:rPr>
          <w:bCs/>
          <w:sz w:val="24"/>
          <w:szCs w:val="24"/>
        </w:rPr>
        <w:t xml:space="preserve">4(a) </w:t>
      </w:r>
      <w:r w:rsidR="00EC2C2B" w:rsidRPr="00883E66">
        <w:rPr>
          <w:bCs/>
          <w:sz w:val="24"/>
          <w:szCs w:val="24"/>
        </w:rPr>
        <w:t>revised)</w:t>
      </w:r>
    </w:p>
    <w:p w14:paraId="63D6E66A" w14:textId="74B28B62" w:rsidR="00045DF3" w:rsidRPr="00883E66" w:rsidRDefault="00883E66" w:rsidP="000E4110">
      <w:pPr>
        <w:tabs>
          <w:tab w:val="left" w:pos="5040"/>
        </w:tabs>
        <w:rPr>
          <w:bCs/>
          <w:sz w:val="24"/>
          <w:szCs w:val="24"/>
        </w:rPr>
      </w:pPr>
      <w:r>
        <w:rPr>
          <w:bCs/>
          <w:sz w:val="24"/>
          <w:szCs w:val="24"/>
        </w:rPr>
        <w:t>0</w:t>
      </w:r>
      <w:r w:rsidR="00282696">
        <w:rPr>
          <w:bCs/>
          <w:sz w:val="24"/>
          <w:szCs w:val="24"/>
        </w:rPr>
        <w:t>3</w:t>
      </w:r>
      <w:r>
        <w:rPr>
          <w:bCs/>
          <w:sz w:val="24"/>
          <w:szCs w:val="24"/>
        </w:rPr>
        <w:t>/</w:t>
      </w:r>
      <w:r w:rsidR="00402995">
        <w:rPr>
          <w:bCs/>
          <w:sz w:val="24"/>
          <w:szCs w:val="24"/>
        </w:rPr>
        <w:t>20</w:t>
      </w:r>
      <w:r>
        <w:rPr>
          <w:bCs/>
          <w:sz w:val="24"/>
          <w:szCs w:val="24"/>
        </w:rPr>
        <w:t xml:space="preserve">23 (Signature block </w:t>
      </w:r>
      <w:r w:rsidR="00282696">
        <w:rPr>
          <w:bCs/>
          <w:sz w:val="24"/>
          <w:szCs w:val="24"/>
        </w:rPr>
        <w:t>revised</w:t>
      </w:r>
      <w:r>
        <w:rPr>
          <w:bCs/>
          <w:sz w:val="24"/>
          <w:szCs w:val="24"/>
        </w:rPr>
        <w:t>)</w:t>
      </w:r>
      <w:r>
        <w:rPr>
          <w:bCs/>
          <w:sz w:val="24"/>
          <w:szCs w:val="24"/>
        </w:rPr>
        <w:tab/>
        <w:t>0</w:t>
      </w:r>
      <w:r w:rsidR="00282696">
        <w:rPr>
          <w:bCs/>
          <w:sz w:val="24"/>
          <w:szCs w:val="24"/>
        </w:rPr>
        <w:t>3</w:t>
      </w:r>
      <w:r>
        <w:rPr>
          <w:bCs/>
          <w:sz w:val="24"/>
          <w:szCs w:val="24"/>
        </w:rPr>
        <w:t>/</w:t>
      </w:r>
      <w:r w:rsidR="00402995">
        <w:rPr>
          <w:bCs/>
          <w:sz w:val="24"/>
          <w:szCs w:val="24"/>
        </w:rPr>
        <w:t>20</w:t>
      </w:r>
      <w:r>
        <w:rPr>
          <w:bCs/>
          <w:sz w:val="24"/>
          <w:szCs w:val="24"/>
        </w:rPr>
        <w:t xml:space="preserve">23 (Authorized </w:t>
      </w:r>
      <w:r w:rsidR="00402995">
        <w:rPr>
          <w:bCs/>
          <w:sz w:val="24"/>
          <w:szCs w:val="24"/>
        </w:rPr>
        <w:t>C</w:t>
      </w:r>
      <w:r>
        <w:rPr>
          <w:bCs/>
          <w:sz w:val="24"/>
          <w:szCs w:val="24"/>
        </w:rPr>
        <w:t>hange 9 added)</w:t>
      </w:r>
    </w:p>
    <w:p w14:paraId="3B573677" w14:textId="59C5C4C2" w:rsidR="007F4067" w:rsidRPr="009E283C" w:rsidRDefault="00402995">
      <w:pPr>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66AEC">
        <w:rPr>
          <w:bCs/>
          <w:sz w:val="24"/>
          <w:szCs w:val="24"/>
        </w:rPr>
        <w:t>10</w:t>
      </w:r>
      <w:r w:rsidRPr="009E283C">
        <w:rPr>
          <w:bCs/>
          <w:sz w:val="24"/>
          <w:szCs w:val="24"/>
        </w:rPr>
        <w:t>/202</w:t>
      </w:r>
      <w:r w:rsidR="00F66AEC">
        <w:rPr>
          <w:bCs/>
          <w:sz w:val="24"/>
          <w:szCs w:val="24"/>
        </w:rPr>
        <w:t xml:space="preserve">4 </w:t>
      </w:r>
      <w:r w:rsidRPr="009E283C">
        <w:rPr>
          <w:bCs/>
          <w:sz w:val="24"/>
          <w:szCs w:val="24"/>
        </w:rPr>
        <w:t>(Authorized Change 7 revised)</w:t>
      </w:r>
    </w:p>
    <w:p w14:paraId="503FFB14" w14:textId="77777777" w:rsidR="00402995" w:rsidRPr="00883E66" w:rsidRDefault="00402995">
      <w:pPr>
        <w:rPr>
          <w:b/>
          <w:sz w:val="24"/>
          <w:szCs w:val="24"/>
        </w:rPr>
      </w:pPr>
    </w:p>
    <w:p w14:paraId="4A49D1C0" w14:textId="1B843E50" w:rsidR="00306263" w:rsidRPr="00883E66" w:rsidRDefault="00306263">
      <w:pPr>
        <w:rPr>
          <w:b/>
          <w:sz w:val="24"/>
          <w:szCs w:val="24"/>
        </w:rPr>
      </w:pPr>
      <w:r w:rsidRPr="00883E66">
        <w:rPr>
          <w:b/>
          <w:sz w:val="24"/>
          <w:szCs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06263" w:rsidRPr="00883E66" w14:paraId="1BD269E6" w14:textId="77777777">
        <w:tc>
          <w:tcPr>
            <w:tcW w:w="1260" w:type="dxa"/>
          </w:tcPr>
          <w:p w14:paraId="0D00821A" w14:textId="77777777" w:rsidR="00306263" w:rsidRPr="00883E66" w:rsidRDefault="00306263">
            <w:pPr>
              <w:rPr>
                <w:b/>
                <w:caps/>
                <w:sz w:val="24"/>
                <w:szCs w:val="24"/>
              </w:rPr>
            </w:pPr>
            <w:r w:rsidRPr="000E4110">
              <w:rPr>
                <w:sz w:val="24"/>
                <w:szCs w:val="24"/>
              </w:rPr>
              <w:t>State</w:t>
            </w:r>
          </w:p>
        </w:tc>
        <w:tc>
          <w:tcPr>
            <w:tcW w:w="1530" w:type="dxa"/>
          </w:tcPr>
          <w:p w14:paraId="678BE0A1" w14:textId="77777777" w:rsidR="00306263" w:rsidRPr="00883E66" w:rsidRDefault="00306263">
            <w:pPr>
              <w:rPr>
                <w:b/>
                <w:caps/>
                <w:sz w:val="24"/>
                <w:szCs w:val="24"/>
              </w:rPr>
            </w:pPr>
            <w:r w:rsidRPr="000E4110">
              <w:rPr>
                <w:sz w:val="24"/>
                <w:szCs w:val="24"/>
              </w:rPr>
              <w:t>Lien Type</w:t>
            </w:r>
          </w:p>
        </w:tc>
        <w:tc>
          <w:tcPr>
            <w:tcW w:w="2250" w:type="dxa"/>
          </w:tcPr>
          <w:p w14:paraId="7C3581BC" w14:textId="77777777" w:rsidR="00306263" w:rsidRPr="00883E66" w:rsidRDefault="00306263">
            <w:pPr>
              <w:rPr>
                <w:b/>
                <w:caps/>
                <w:sz w:val="24"/>
                <w:szCs w:val="24"/>
              </w:rPr>
            </w:pPr>
            <w:r w:rsidRPr="000E4110">
              <w:rPr>
                <w:sz w:val="24"/>
                <w:szCs w:val="24"/>
              </w:rPr>
              <w:t>Product Type</w:t>
            </w:r>
          </w:p>
        </w:tc>
        <w:tc>
          <w:tcPr>
            <w:tcW w:w="2070" w:type="dxa"/>
          </w:tcPr>
          <w:p w14:paraId="2BBF162A" w14:textId="77777777" w:rsidR="00306263" w:rsidRPr="00883E66" w:rsidRDefault="00306263">
            <w:pPr>
              <w:rPr>
                <w:b/>
                <w:caps/>
                <w:sz w:val="24"/>
                <w:szCs w:val="24"/>
              </w:rPr>
            </w:pPr>
            <w:r w:rsidRPr="000E4110">
              <w:rPr>
                <w:sz w:val="24"/>
                <w:szCs w:val="24"/>
              </w:rPr>
              <w:t>Property Type</w:t>
            </w:r>
          </w:p>
        </w:tc>
        <w:tc>
          <w:tcPr>
            <w:tcW w:w="1890" w:type="dxa"/>
          </w:tcPr>
          <w:p w14:paraId="5CC20F50" w14:textId="77777777" w:rsidR="00306263" w:rsidRPr="00883E66" w:rsidRDefault="00306263">
            <w:pPr>
              <w:rPr>
                <w:b/>
                <w:caps/>
                <w:sz w:val="24"/>
                <w:szCs w:val="24"/>
              </w:rPr>
            </w:pPr>
            <w:r w:rsidRPr="000E4110">
              <w:rPr>
                <w:sz w:val="24"/>
                <w:szCs w:val="24"/>
              </w:rPr>
              <w:t>Occupancy Type</w:t>
            </w:r>
          </w:p>
        </w:tc>
      </w:tr>
      <w:tr w:rsidR="00306263" w:rsidRPr="00883E66" w14:paraId="040771C3" w14:textId="77777777">
        <w:tc>
          <w:tcPr>
            <w:tcW w:w="1260" w:type="dxa"/>
          </w:tcPr>
          <w:p w14:paraId="72355D5D" w14:textId="77777777" w:rsidR="00306263" w:rsidRPr="00883E66" w:rsidRDefault="00306263">
            <w:pPr>
              <w:rPr>
                <w:b/>
                <w:sz w:val="24"/>
                <w:szCs w:val="24"/>
              </w:rPr>
            </w:pPr>
            <w:r w:rsidRPr="00883E66">
              <w:rPr>
                <w:b/>
                <w:sz w:val="24"/>
                <w:szCs w:val="24"/>
              </w:rPr>
              <w:t>TX</w:t>
            </w:r>
          </w:p>
        </w:tc>
        <w:tc>
          <w:tcPr>
            <w:tcW w:w="1530" w:type="dxa"/>
          </w:tcPr>
          <w:p w14:paraId="044BBD90" w14:textId="77777777" w:rsidR="00306263" w:rsidRPr="00883E66" w:rsidRDefault="00306263">
            <w:pPr>
              <w:rPr>
                <w:b/>
                <w:sz w:val="24"/>
                <w:szCs w:val="24"/>
              </w:rPr>
            </w:pPr>
            <w:r w:rsidRPr="000E4110">
              <w:rPr>
                <w:b/>
                <w:sz w:val="24"/>
                <w:szCs w:val="24"/>
              </w:rPr>
              <w:t>First</w:t>
            </w:r>
          </w:p>
        </w:tc>
        <w:tc>
          <w:tcPr>
            <w:tcW w:w="2250" w:type="dxa"/>
          </w:tcPr>
          <w:p w14:paraId="68B3EBB1" w14:textId="77777777" w:rsidR="00306263" w:rsidRPr="00883E66" w:rsidRDefault="00306263">
            <w:pPr>
              <w:rPr>
                <w:b/>
                <w:sz w:val="24"/>
                <w:szCs w:val="24"/>
              </w:rPr>
            </w:pPr>
            <w:r w:rsidRPr="000E4110">
              <w:rPr>
                <w:b/>
                <w:sz w:val="24"/>
                <w:szCs w:val="24"/>
              </w:rPr>
              <w:t>All Section 50(a)(6) mortgages</w:t>
            </w:r>
          </w:p>
        </w:tc>
        <w:tc>
          <w:tcPr>
            <w:tcW w:w="2070" w:type="dxa"/>
          </w:tcPr>
          <w:p w14:paraId="5965CFD9" w14:textId="77777777" w:rsidR="00306263" w:rsidRPr="00883E66" w:rsidRDefault="00306263">
            <w:pPr>
              <w:rPr>
                <w:b/>
                <w:sz w:val="24"/>
                <w:szCs w:val="24"/>
              </w:rPr>
            </w:pPr>
            <w:r w:rsidRPr="000E4110">
              <w:rPr>
                <w:b/>
                <w:sz w:val="24"/>
                <w:szCs w:val="24"/>
              </w:rPr>
              <w:t>All, except cooperatives</w:t>
            </w:r>
          </w:p>
        </w:tc>
        <w:tc>
          <w:tcPr>
            <w:tcW w:w="1890" w:type="dxa"/>
          </w:tcPr>
          <w:p w14:paraId="31E39CE9" w14:textId="77777777" w:rsidR="00306263" w:rsidRPr="00883E66" w:rsidRDefault="00306263">
            <w:pPr>
              <w:rPr>
                <w:b/>
                <w:sz w:val="24"/>
                <w:szCs w:val="24"/>
              </w:rPr>
            </w:pPr>
            <w:r w:rsidRPr="000E4110">
              <w:rPr>
                <w:b/>
                <w:sz w:val="24"/>
                <w:szCs w:val="24"/>
              </w:rPr>
              <w:t>Principal residence</w:t>
            </w:r>
          </w:p>
        </w:tc>
      </w:tr>
    </w:tbl>
    <w:p w14:paraId="2CA3F486" w14:textId="77777777" w:rsidR="00306263" w:rsidRPr="000E4110" w:rsidRDefault="00306263">
      <w:pPr>
        <w:rPr>
          <w:b/>
          <w:sz w:val="24"/>
          <w:szCs w:val="24"/>
        </w:rPr>
      </w:pPr>
    </w:p>
    <w:p w14:paraId="28E87260" w14:textId="77777777" w:rsidR="00306263" w:rsidRPr="00883E66" w:rsidRDefault="00306263">
      <w:pPr>
        <w:rPr>
          <w:b/>
          <w:sz w:val="24"/>
          <w:szCs w:val="24"/>
        </w:rPr>
      </w:pPr>
      <w:r w:rsidRPr="00883E66">
        <w:rPr>
          <w:b/>
          <w:sz w:val="24"/>
          <w:szCs w:val="24"/>
        </w:rPr>
        <w:t>Required Changes</w:t>
      </w:r>
    </w:p>
    <w:p w14:paraId="7878A177" w14:textId="77777777" w:rsidR="00306263" w:rsidRPr="00883E66" w:rsidRDefault="00306263">
      <w:pPr>
        <w:rPr>
          <w:sz w:val="24"/>
          <w:szCs w:val="24"/>
        </w:rPr>
      </w:pPr>
      <w:r w:rsidRPr="00883E66">
        <w:rPr>
          <w:sz w:val="24"/>
          <w:szCs w:val="24"/>
        </w:rPr>
        <w:t>The following changes MUST always be made to this document:</w:t>
      </w:r>
    </w:p>
    <w:p w14:paraId="46D75534" w14:textId="77777777" w:rsidR="00306263" w:rsidRPr="00883E66" w:rsidRDefault="00306263">
      <w:pPr>
        <w:rPr>
          <w:sz w:val="24"/>
          <w:szCs w:val="24"/>
        </w:rPr>
      </w:pPr>
    </w:p>
    <w:p w14:paraId="4DEC9936" w14:textId="77777777" w:rsidR="00306263" w:rsidRPr="00883E66" w:rsidRDefault="00306263">
      <w:pPr>
        <w:rPr>
          <w:sz w:val="24"/>
          <w:szCs w:val="24"/>
        </w:rPr>
      </w:pPr>
      <w:r w:rsidRPr="00883E66">
        <w:rPr>
          <w:sz w:val="24"/>
          <w:szCs w:val="24"/>
        </w:rPr>
        <w:t>None</w:t>
      </w:r>
    </w:p>
    <w:p w14:paraId="08BE86FC" w14:textId="77777777" w:rsidR="00306263" w:rsidRPr="000E4110" w:rsidRDefault="00306263">
      <w:pPr>
        <w:rPr>
          <w:sz w:val="24"/>
          <w:szCs w:val="24"/>
        </w:rPr>
      </w:pPr>
    </w:p>
    <w:p w14:paraId="104D2746" w14:textId="77777777" w:rsidR="00306263" w:rsidRPr="00883E66" w:rsidRDefault="00306263">
      <w:pPr>
        <w:rPr>
          <w:b/>
          <w:sz w:val="24"/>
          <w:szCs w:val="24"/>
        </w:rPr>
      </w:pPr>
      <w:r w:rsidRPr="00883E66">
        <w:rPr>
          <w:b/>
          <w:sz w:val="24"/>
          <w:szCs w:val="24"/>
        </w:rPr>
        <w:t>Authorized Changes</w:t>
      </w:r>
    </w:p>
    <w:p w14:paraId="7AE864F8" w14:textId="77777777" w:rsidR="00306263" w:rsidRPr="00883E66" w:rsidRDefault="00306263">
      <w:pPr>
        <w:pStyle w:val="BodyText2"/>
        <w:rPr>
          <w:szCs w:val="24"/>
        </w:rPr>
      </w:pPr>
      <w:r w:rsidRPr="00883E66">
        <w:rPr>
          <w:szCs w:val="24"/>
        </w:rPr>
        <w:t xml:space="preserve">The following changes </w:t>
      </w:r>
      <w:smartTag w:uri="urn:schemas-microsoft-com:office:smarttags" w:element="stockticker">
        <w:r w:rsidRPr="00883E66">
          <w:rPr>
            <w:szCs w:val="24"/>
          </w:rPr>
          <w:t>MAY</w:t>
        </w:r>
      </w:smartTag>
      <w:r w:rsidRPr="00883E66">
        <w:rPr>
          <w:szCs w:val="24"/>
        </w:rPr>
        <w:t xml:space="preserve"> be made to this document at the lender’s option or MUST be made under certain circumstances only:</w:t>
      </w:r>
    </w:p>
    <w:p w14:paraId="4076754E" w14:textId="77777777" w:rsidR="00306263" w:rsidRPr="00883E66" w:rsidRDefault="00306263">
      <w:pPr>
        <w:jc w:val="both"/>
        <w:rPr>
          <w:sz w:val="24"/>
          <w:szCs w:val="24"/>
        </w:rPr>
      </w:pPr>
    </w:p>
    <w:p w14:paraId="1B7F0AE1" w14:textId="0E6B224F" w:rsidR="00306263" w:rsidRPr="000E4110" w:rsidRDefault="00306263" w:rsidP="000E4110">
      <w:pPr>
        <w:pStyle w:val="ListParagraph"/>
        <w:numPr>
          <w:ilvl w:val="0"/>
          <w:numId w:val="4"/>
        </w:numPr>
        <w:ind w:hanging="720"/>
        <w:jc w:val="both"/>
        <w:rPr>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add legends to identify the preparers of the document, consistent with the requirements of state and local laws.</w:t>
      </w:r>
    </w:p>
    <w:p w14:paraId="73D10F89" w14:textId="77777777" w:rsidR="00306263" w:rsidRPr="00883E66" w:rsidRDefault="00306263">
      <w:pPr>
        <w:jc w:val="both"/>
        <w:rPr>
          <w:sz w:val="24"/>
          <w:szCs w:val="24"/>
        </w:rPr>
      </w:pPr>
    </w:p>
    <w:p w14:paraId="364DE4A5" w14:textId="6071FB5A" w:rsidR="00306263" w:rsidRPr="000E4110" w:rsidRDefault="00306263" w:rsidP="000E4110">
      <w:pPr>
        <w:pStyle w:val="ListParagraph"/>
        <w:numPr>
          <w:ilvl w:val="0"/>
          <w:numId w:val="4"/>
        </w:numPr>
        <w:ind w:hanging="720"/>
        <w:jc w:val="both"/>
        <w:rPr>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65495ABE" w14:textId="77777777" w:rsidR="00306263" w:rsidRPr="00883E66" w:rsidRDefault="00306263">
      <w:pPr>
        <w:jc w:val="both"/>
        <w:rPr>
          <w:sz w:val="24"/>
          <w:szCs w:val="24"/>
        </w:rPr>
      </w:pPr>
    </w:p>
    <w:p w14:paraId="4A2B0BD5" w14:textId="0FC4A3E2" w:rsidR="00306263" w:rsidRPr="000E4110" w:rsidRDefault="00306263" w:rsidP="000E4110">
      <w:pPr>
        <w:pStyle w:val="ListParagraph"/>
        <w:numPr>
          <w:ilvl w:val="0"/>
          <w:numId w:val="4"/>
        </w:numPr>
        <w:ind w:hanging="720"/>
        <w:jc w:val="both"/>
        <w:rPr>
          <w:b/>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071B7ED" w14:textId="77777777" w:rsidR="00306263" w:rsidRPr="00883E66" w:rsidRDefault="00306263">
      <w:pPr>
        <w:jc w:val="both"/>
        <w:rPr>
          <w:b/>
          <w:sz w:val="24"/>
          <w:szCs w:val="24"/>
        </w:rPr>
      </w:pPr>
    </w:p>
    <w:p w14:paraId="55A9FF39" w14:textId="05CFD611" w:rsidR="00306263" w:rsidRPr="000E4110" w:rsidRDefault="00306263" w:rsidP="000E4110">
      <w:pPr>
        <w:pStyle w:val="ListParagraph"/>
        <w:numPr>
          <w:ilvl w:val="0"/>
          <w:numId w:val="4"/>
        </w:numPr>
        <w:ind w:hanging="720"/>
        <w:jc w:val="both"/>
        <w:rPr>
          <w:b/>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name MERS as the mortgagee of record (as nominee for the beneficiary) in this document and, if they do, MUST make the following changes:</w:t>
      </w:r>
    </w:p>
    <w:p w14:paraId="75B11EEC" w14:textId="77777777" w:rsidR="00306263" w:rsidRPr="00883E66" w:rsidRDefault="00306263">
      <w:pPr>
        <w:jc w:val="both"/>
        <w:rPr>
          <w:b/>
          <w:sz w:val="24"/>
          <w:szCs w:val="24"/>
        </w:rPr>
      </w:pPr>
    </w:p>
    <w:p w14:paraId="26FC2F2F" w14:textId="76C52E60" w:rsidR="00306263" w:rsidRPr="000E4110" w:rsidRDefault="00EC2C2B" w:rsidP="000E4110">
      <w:pPr>
        <w:pStyle w:val="ListParagraph"/>
        <w:numPr>
          <w:ilvl w:val="0"/>
          <w:numId w:val="5"/>
        </w:numPr>
        <w:ind w:left="1440" w:hanging="720"/>
        <w:jc w:val="both"/>
        <w:rPr>
          <w:sz w:val="24"/>
          <w:szCs w:val="24"/>
        </w:rPr>
      </w:pPr>
      <w:r w:rsidRPr="000E4110">
        <w:rPr>
          <w:sz w:val="24"/>
          <w:szCs w:val="24"/>
        </w:rPr>
        <w:t>Delete the fourth sentence of the definition of “Lender” that says, “</w:t>
      </w:r>
      <w:r w:rsidRPr="000E4110">
        <w:rPr>
          <w:i/>
          <w:iCs/>
          <w:sz w:val="24"/>
          <w:szCs w:val="24"/>
        </w:rPr>
        <w:t xml:space="preserve">Lender is the beneficiary under this Security Instrument.” </w:t>
      </w:r>
      <w:r w:rsidRPr="000E4110">
        <w:rPr>
          <w:sz w:val="24"/>
          <w:szCs w:val="24"/>
        </w:rPr>
        <w:t>and replace it with the following sentence</w:t>
      </w:r>
      <w:r w:rsidRPr="000E4110">
        <w:rPr>
          <w:i/>
          <w:iCs/>
          <w:sz w:val="24"/>
          <w:szCs w:val="24"/>
        </w:rPr>
        <w:t xml:space="preserve"> “Lender includes any holder of the Note who is entitled to receive payments under the Note</w:t>
      </w:r>
      <w:r w:rsidRPr="000E4110">
        <w:rPr>
          <w:sz w:val="24"/>
          <w:szCs w:val="24"/>
        </w:rPr>
        <w:t>.”</w:t>
      </w:r>
    </w:p>
    <w:p w14:paraId="09B48DCC" w14:textId="77777777" w:rsidR="00DF1B7C" w:rsidRPr="00883E66" w:rsidRDefault="00DF1B7C" w:rsidP="00DF1B7C">
      <w:pPr>
        <w:pStyle w:val="ListParagraph"/>
        <w:ind w:left="1440"/>
        <w:jc w:val="both"/>
        <w:rPr>
          <w:sz w:val="24"/>
          <w:szCs w:val="24"/>
        </w:rPr>
      </w:pPr>
    </w:p>
    <w:p w14:paraId="33AAE3D5" w14:textId="11541029" w:rsidR="00306263" w:rsidRPr="000E4110" w:rsidRDefault="00306263" w:rsidP="000E4110">
      <w:pPr>
        <w:pStyle w:val="ListParagraph"/>
        <w:numPr>
          <w:ilvl w:val="0"/>
          <w:numId w:val="5"/>
        </w:numPr>
        <w:ind w:left="1440" w:hanging="720"/>
        <w:jc w:val="both"/>
        <w:rPr>
          <w:sz w:val="24"/>
          <w:szCs w:val="24"/>
        </w:rPr>
      </w:pPr>
      <w:r w:rsidRPr="000E4110">
        <w:rPr>
          <w:sz w:val="24"/>
          <w:szCs w:val="24"/>
        </w:rPr>
        <w:t>Insert a new definition (E), which reads as follows:</w:t>
      </w:r>
    </w:p>
    <w:p w14:paraId="3DF34057" w14:textId="77777777" w:rsidR="00306263" w:rsidRPr="00883E66" w:rsidRDefault="00306263">
      <w:pPr>
        <w:jc w:val="both"/>
        <w:rPr>
          <w:sz w:val="24"/>
          <w:szCs w:val="24"/>
        </w:rPr>
      </w:pPr>
    </w:p>
    <w:p w14:paraId="37F81AE7" w14:textId="77777777" w:rsidR="00306263" w:rsidRPr="000E4110" w:rsidRDefault="00306263" w:rsidP="00883E66">
      <w:pPr>
        <w:ind w:left="1440"/>
        <w:jc w:val="both"/>
        <w:rPr>
          <w:i/>
          <w:iCs/>
          <w:sz w:val="24"/>
          <w:szCs w:val="24"/>
        </w:rPr>
      </w:pPr>
      <w:r w:rsidRPr="000E4110">
        <w:rPr>
          <w:b/>
          <w:i/>
          <w:iCs/>
          <w:sz w:val="24"/>
          <w:szCs w:val="24"/>
        </w:rPr>
        <w:t>(E) “MERS”</w:t>
      </w:r>
      <w:r w:rsidRPr="000E4110">
        <w:rPr>
          <w:i/>
          <w:iCs/>
          <w:sz w:val="24"/>
          <w:szCs w:val="24"/>
        </w:rPr>
        <w:t xml:space="preserve"> is Mortgage Electronic Registration Systems, Inc. MERS is a separate corporation that is acting solely as a nominee for Lender and Lender’s successors and assigns. </w:t>
      </w:r>
      <w:r w:rsidRPr="000E4110">
        <w:rPr>
          <w:b/>
          <w:i/>
          <w:iCs/>
          <w:sz w:val="24"/>
          <w:szCs w:val="24"/>
        </w:rPr>
        <w:t xml:space="preserve">MERS is the beneficiary under this Security Instrument. </w:t>
      </w:r>
      <w:r w:rsidRPr="000E4110">
        <w:rPr>
          <w:i/>
          <w:iCs/>
          <w:sz w:val="24"/>
          <w:szCs w:val="24"/>
        </w:rPr>
        <w:t>MERS is organized and existing under the laws of Delaware, and has an address and telephone number of P.O. Box 2026, Flint, MI 48501-2026, tel. (888) 679-MERS.</w:t>
      </w:r>
    </w:p>
    <w:p w14:paraId="442CECD4" w14:textId="77777777" w:rsidR="00306263" w:rsidRPr="000E4110" w:rsidRDefault="00306263">
      <w:pPr>
        <w:jc w:val="both"/>
        <w:rPr>
          <w:i/>
          <w:sz w:val="24"/>
          <w:szCs w:val="24"/>
        </w:rPr>
      </w:pPr>
    </w:p>
    <w:p w14:paraId="32D78CC5" w14:textId="60FCC165" w:rsidR="00306263" w:rsidRPr="000E4110" w:rsidRDefault="00306263" w:rsidP="000E4110">
      <w:pPr>
        <w:pStyle w:val="ListParagraph"/>
        <w:numPr>
          <w:ilvl w:val="0"/>
          <w:numId w:val="5"/>
        </w:numPr>
        <w:ind w:left="1440" w:hanging="720"/>
        <w:jc w:val="both"/>
        <w:rPr>
          <w:sz w:val="24"/>
          <w:szCs w:val="24"/>
        </w:rPr>
      </w:pPr>
      <w:r w:rsidRPr="000E4110">
        <w:rPr>
          <w:sz w:val="24"/>
          <w:szCs w:val="24"/>
        </w:rPr>
        <w:t>Redesignate all subsequent definitions (as F, G, H, etc.) as required.</w:t>
      </w:r>
    </w:p>
    <w:p w14:paraId="12404287" w14:textId="77777777" w:rsidR="00306263" w:rsidRPr="000E4110" w:rsidRDefault="00306263">
      <w:pPr>
        <w:jc w:val="both"/>
        <w:rPr>
          <w:i/>
          <w:sz w:val="24"/>
          <w:szCs w:val="24"/>
        </w:rPr>
      </w:pPr>
    </w:p>
    <w:p w14:paraId="4644EA2B" w14:textId="5B942AFD" w:rsidR="00306263" w:rsidRPr="000E4110" w:rsidRDefault="00306263" w:rsidP="000E4110">
      <w:pPr>
        <w:pStyle w:val="ListParagraph"/>
        <w:numPr>
          <w:ilvl w:val="0"/>
          <w:numId w:val="5"/>
        </w:numPr>
        <w:ind w:left="1440" w:hanging="720"/>
        <w:jc w:val="both"/>
        <w:rPr>
          <w:sz w:val="24"/>
          <w:szCs w:val="24"/>
        </w:rPr>
      </w:pPr>
      <w:r w:rsidRPr="000E4110">
        <w:rPr>
          <w:sz w:val="24"/>
          <w:szCs w:val="24"/>
        </w:rPr>
        <w:t>Add the following sentence at the beginning of the first paragraph of the section titled “TRANSFER OF RIGHTS IN THE PROPERTY”</w:t>
      </w:r>
      <w:r w:rsidR="00466DF2" w:rsidRPr="000E4110">
        <w:rPr>
          <w:sz w:val="24"/>
          <w:szCs w:val="24"/>
        </w:rPr>
        <w:t>:</w:t>
      </w:r>
    </w:p>
    <w:p w14:paraId="5CD84524" w14:textId="77777777" w:rsidR="00306263" w:rsidRPr="00883E66" w:rsidRDefault="00306263">
      <w:pPr>
        <w:jc w:val="both"/>
        <w:rPr>
          <w:sz w:val="24"/>
          <w:szCs w:val="24"/>
        </w:rPr>
      </w:pPr>
    </w:p>
    <w:p w14:paraId="6FE167E4" w14:textId="77777777" w:rsidR="00306263" w:rsidRPr="000E4110" w:rsidRDefault="00306263" w:rsidP="00883E66">
      <w:pPr>
        <w:ind w:left="1440"/>
        <w:jc w:val="both"/>
        <w:rPr>
          <w:i/>
          <w:iCs/>
          <w:sz w:val="24"/>
          <w:szCs w:val="24"/>
        </w:rPr>
      </w:pPr>
      <w:r w:rsidRPr="000E4110">
        <w:rPr>
          <w:i/>
          <w:iCs/>
          <w:sz w:val="24"/>
          <w:szCs w:val="24"/>
        </w:rPr>
        <w:t>The beneficiary of this Security Instrument is MERS (solely as nominee for Lender and Lender’s successors and assigns) and the successors and assigns of MERS.</w:t>
      </w:r>
    </w:p>
    <w:p w14:paraId="6AC9C807" w14:textId="77777777" w:rsidR="00306263" w:rsidRPr="000E4110" w:rsidRDefault="00306263">
      <w:pPr>
        <w:jc w:val="both"/>
        <w:rPr>
          <w:i/>
          <w:sz w:val="24"/>
          <w:szCs w:val="24"/>
          <w:lang w:val="it-IT"/>
        </w:rPr>
      </w:pPr>
    </w:p>
    <w:p w14:paraId="5A0BA65C" w14:textId="22CEB01A" w:rsidR="00306263" w:rsidRPr="000E4110" w:rsidRDefault="00306263" w:rsidP="00883E66">
      <w:pPr>
        <w:ind w:left="1440" w:hanging="720"/>
        <w:jc w:val="both"/>
        <w:rPr>
          <w:sz w:val="24"/>
          <w:szCs w:val="24"/>
        </w:rPr>
      </w:pPr>
      <w:r w:rsidRPr="000E4110">
        <w:rPr>
          <w:sz w:val="24"/>
          <w:szCs w:val="24"/>
        </w:rPr>
        <w:t>(e)</w:t>
      </w:r>
      <w:r w:rsidRPr="000E4110">
        <w:rPr>
          <w:sz w:val="24"/>
          <w:szCs w:val="24"/>
        </w:rPr>
        <w:tab/>
        <w:t>Revise the paragraph of the section titled “TRANSFER OF RIGHTS IN THE PROPERTY</w:t>
      </w:r>
      <w:r w:rsidR="00466DF2" w:rsidRPr="000E4110">
        <w:rPr>
          <w:sz w:val="24"/>
          <w:szCs w:val="24"/>
        </w:rPr>
        <w:t>”</w:t>
      </w:r>
      <w:r w:rsidR="00DF1B7C" w:rsidRPr="000E4110">
        <w:rPr>
          <w:sz w:val="24"/>
          <w:szCs w:val="24"/>
        </w:rPr>
        <w:t xml:space="preserve"> </w:t>
      </w:r>
      <w:r w:rsidRPr="000E4110">
        <w:rPr>
          <w:sz w:val="24"/>
          <w:szCs w:val="24"/>
        </w:rPr>
        <w:t>that begins with the words “TOGETHER WITH all the improvements...” by adding the following sentence at the end of the paragraph:</w:t>
      </w:r>
    </w:p>
    <w:p w14:paraId="0BF9EDF8" w14:textId="77777777" w:rsidR="00306263" w:rsidRPr="00883E66" w:rsidRDefault="00306263">
      <w:pPr>
        <w:jc w:val="both"/>
        <w:rPr>
          <w:sz w:val="24"/>
          <w:szCs w:val="24"/>
        </w:rPr>
      </w:pPr>
    </w:p>
    <w:p w14:paraId="0E2AEEB5" w14:textId="77777777" w:rsidR="00306263" w:rsidRPr="000E4110" w:rsidRDefault="00306263" w:rsidP="00883E66">
      <w:pPr>
        <w:ind w:left="1440"/>
        <w:jc w:val="both"/>
        <w:rPr>
          <w:i/>
          <w:iCs/>
          <w:sz w:val="24"/>
          <w:szCs w:val="24"/>
        </w:rPr>
      </w:pPr>
      <w:r w:rsidRPr="000E4110">
        <w:rPr>
          <w:i/>
          <w:iCs/>
          <w:sz w:val="24"/>
          <w:szCs w:val="24"/>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7F8000FD" w14:textId="77777777" w:rsidR="00306263" w:rsidRPr="000E4110" w:rsidRDefault="00306263" w:rsidP="00DF1B7C">
      <w:pPr>
        <w:ind w:left="1440"/>
        <w:jc w:val="both"/>
        <w:rPr>
          <w:i/>
          <w:sz w:val="24"/>
          <w:szCs w:val="24"/>
          <w:lang w:val="it-IT"/>
        </w:rPr>
      </w:pPr>
    </w:p>
    <w:p w14:paraId="6CB2EC48" w14:textId="5E4209F2" w:rsidR="00306263" w:rsidRPr="000E4110" w:rsidRDefault="00306263" w:rsidP="000E4110">
      <w:pPr>
        <w:pStyle w:val="ListParagraph"/>
        <w:numPr>
          <w:ilvl w:val="0"/>
          <w:numId w:val="4"/>
        </w:numPr>
        <w:ind w:hanging="720"/>
        <w:jc w:val="both"/>
        <w:rPr>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preprint this document with County embedded in that portion of the section of the document titled TRANSFER OF RIGHTS IN THE PROPERTY that requires entry of the Type of Recording Jurisdiction, if all mortgage </w:t>
      </w:r>
      <w:proofErr w:type="spellStart"/>
      <w:r w:rsidRPr="000E4110">
        <w:rPr>
          <w:sz w:val="24"/>
          <w:szCs w:val="24"/>
        </w:rPr>
        <w:t>recordations</w:t>
      </w:r>
      <w:proofErr w:type="spellEnd"/>
      <w:r w:rsidRPr="000E4110">
        <w:rPr>
          <w:sz w:val="24"/>
          <w:szCs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71F8875" w14:textId="77777777" w:rsidR="00306263" w:rsidRPr="00883E66" w:rsidRDefault="00306263">
      <w:pPr>
        <w:jc w:val="both"/>
        <w:rPr>
          <w:sz w:val="24"/>
          <w:szCs w:val="24"/>
        </w:rPr>
      </w:pPr>
    </w:p>
    <w:p w14:paraId="7FC2C58B" w14:textId="37E6E3B5" w:rsidR="00306263" w:rsidRPr="000E4110" w:rsidRDefault="00306263" w:rsidP="000E4110">
      <w:pPr>
        <w:pStyle w:val="ListParagraph"/>
        <w:numPr>
          <w:ilvl w:val="0"/>
          <w:numId w:val="4"/>
        </w:numPr>
        <w:ind w:hanging="720"/>
        <w:jc w:val="both"/>
        <w:rPr>
          <w:b/>
          <w:sz w:val="24"/>
          <w:szCs w:val="24"/>
        </w:rPr>
      </w:pPr>
      <w:r w:rsidRPr="000E4110">
        <w:rPr>
          <w:sz w:val="24"/>
          <w:szCs w:val="24"/>
        </w:rPr>
        <w:t xml:space="preserve">Lenders </w:t>
      </w:r>
      <w:smartTag w:uri="urn:schemas-microsoft-com:office:smarttags" w:element="stockticker">
        <w:r w:rsidRPr="000E4110">
          <w:rPr>
            <w:sz w:val="24"/>
            <w:szCs w:val="24"/>
          </w:rPr>
          <w:t>MAY</w:t>
        </w:r>
      </w:smartTag>
      <w:r w:rsidRPr="000E4110">
        <w:rPr>
          <w:sz w:val="24"/>
          <w:szCs w:val="24"/>
        </w:rPr>
        <w:t xml:space="preserve"> delete from the last sentence of the paragraph that precedes the Uniform Covenants section the word “generally” and replace it with the word “specially”</w:t>
      </w:r>
      <w:r w:rsidR="00466DF2" w:rsidRPr="000E4110">
        <w:rPr>
          <w:sz w:val="24"/>
          <w:szCs w:val="24"/>
        </w:rPr>
        <w:t>,</w:t>
      </w:r>
      <w:r w:rsidRPr="000E4110">
        <w:rPr>
          <w:sz w:val="24"/>
          <w:szCs w:val="24"/>
        </w:rPr>
        <w:t xml:space="preserve"> if the security property is located in an area in which security instruments normally provide for a special warranty of title by the borrower (rather than a general warranty). </w:t>
      </w:r>
    </w:p>
    <w:p w14:paraId="6E216BEA" w14:textId="77777777" w:rsidR="00306263" w:rsidRPr="00883E66" w:rsidRDefault="00306263">
      <w:pPr>
        <w:jc w:val="both"/>
        <w:rPr>
          <w:b/>
          <w:sz w:val="24"/>
          <w:szCs w:val="24"/>
        </w:rPr>
      </w:pPr>
    </w:p>
    <w:p w14:paraId="1335EB1E" w14:textId="467C5B71" w:rsidR="00306263" w:rsidRPr="009E283C" w:rsidRDefault="00E76171" w:rsidP="009E283C">
      <w:pPr>
        <w:pStyle w:val="ListParagraph"/>
        <w:numPr>
          <w:ilvl w:val="0"/>
          <w:numId w:val="4"/>
        </w:numPr>
        <w:ind w:hanging="720"/>
        <w:rPr>
          <w:szCs w:val="24"/>
        </w:rPr>
      </w:pPr>
      <w:r w:rsidRPr="009E283C">
        <w:rPr>
          <w:sz w:val="24"/>
          <w:szCs w:val="32"/>
        </w:rPr>
        <w:t xml:space="preserve">Lenders </w:t>
      </w:r>
      <w:smartTag w:uri="urn:schemas-microsoft-com:office:smarttags" w:element="stockticker">
        <w:r w:rsidRPr="009E283C">
          <w:rPr>
            <w:sz w:val="24"/>
            <w:szCs w:val="32"/>
          </w:rPr>
          <w:t>MAY</w:t>
        </w:r>
      </w:smartTag>
      <w:r w:rsidRPr="009E283C">
        <w:rPr>
          <w:sz w:val="24"/>
          <w:szCs w:val="32"/>
        </w:rPr>
        <w:t xml:space="preserve">, when appropriate, add an asterisk (*) following the Borrower’s name on the first page of the security instrument and following the Borrower’s signature at the </w:t>
      </w:r>
      <w:r w:rsidRPr="009E283C">
        <w:rPr>
          <w:sz w:val="24"/>
          <w:szCs w:val="32"/>
        </w:rPr>
        <w:lastRenderedPageBreak/>
        <w:t>execution block of the security instrument, with the asterisk tying to a legend added immediately following the execution block.  The legend should read substantially as follows:</w:t>
      </w:r>
      <w:r w:rsidR="00306263" w:rsidRPr="009E283C">
        <w:rPr>
          <w:sz w:val="24"/>
          <w:szCs w:val="24"/>
        </w:rPr>
        <w:t xml:space="preserve"> </w:t>
      </w:r>
    </w:p>
    <w:p w14:paraId="1689A229" w14:textId="77777777" w:rsidR="00306263" w:rsidRPr="00883E66" w:rsidRDefault="00306263">
      <w:pPr>
        <w:jc w:val="both"/>
        <w:rPr>
          <w:sz w:val="24"/>
          <w:szCs w:val="24"/>
        </w:rPr>
      </w:pPr>
    </w:p>
    <w:p w14:paraId="44FFC46D" w14:textId="2BCCCEC0" w:rsidR="00883E66" w:rsidRPr="009E283C" w:rsidRDefault="00306263" w:rsidP="009E283C">
      <w:pPr>
        <w:ind w:left="1710" w:hanging="270"/>
        <w:jc w:val="both"/>
        <w:rPr>
          <w:i/>
          <w:iCs/>
          <w:sz w:val="22"/>
          <w:szCs w:val="22"/>
        </w:rPr>
      </w:pPr>
      <w:r w:rsidRPr="009E283C">
        <w:rPr>
          <w:i/>
          <w:iCs/>
          <w:sz w:val="22"/>
          <w:szCs w:val="22"/>
        </w:rPr>
        <w:t>*</w:t>
      </w:r>
      <w:r w:rsidRPr="009E283C">
        <w:rPr>
          <w:i/>
          <w:iCs/>
          <w:sz w:val="22"/>
          <w:szCs w:val="22"/>
        </w:rPr>
        <w:tab/>
        <w:t xml:space="preserve">__________________ </w:t>
      </w:r>
      <w:r w:rsidR="00402995" w:rsidRPr="009E283C">
        <w:rPr>
          <w:i/>
          <w:iCs/>
          <w:sz w:val="22"/>
          <w:szCs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r w:rsidRPr="009E283C">
        <w:rPr>
          <w:i/>
          <w:iCs/>
          <w:sz w:val="22"/>
          <w:szCs w:val="22"/>
        </w:rPr>
        <w:t>.</w:t>
      </w:r>
    </w:p>
    <w:p w14:paraId="017B550A" w14:textId="5FDE0EE3" w:rsidR="00F971AE" w:rsidRPr="00883E66" w:rsidRDefault="00F971AE" w:rsidP="00883E66">
      <w:pPr>
        <w:ind w:left="720" w:hanging="720"/>
        <w:jc w:val="both"/>
      </w:pPr>
    </w:p>
    <w:p w14:paraId="185D5613" w14:textId="008EB9DB" w:rsidR="00883E66" w:rsidRDefault="00306263" w:rsidP="000E4110">
      <w:pPr>
        <w:pStyle w:val="BodyText"/>
        <w:numPr>
          <w:ilvl w:val="0"/>
          <w:numId w:val="4"/>
        </w:numPr>
        <w:jc w:val="both"/>
        <w:rPr>
          <w:szCs w:val="24"/>
        </w:rPr>
      </w:pPr>
      <w:r w:rsidRPr="00883E66">
        <w:t>Lenders may insert a Notice on the Security Instrument if the Notice is required by applicable law for the type of transaction.</w:t>
      </w:r>
    </w:p>
    <w:p w14:paraId="23A08010" w14:textId="77777777" w:rsidR="00883E66" w:rsidRDefault="00883E66" w:rsidP="00883E66">
      <w:pPr>
        <w:pStyle w:val="BodyText"/>
        <w:ind w:left="360"/>
        <w:jc w:val="both"/>
      </w:pPr>
    </w:p>
    <w:p w14:paraId="6C69E385" w14:textId="26F1C1B2" w:rsidR="00883E66" w:rsidRDefault="00883E66" w:rsidP="000E4110">
      <w:pPr>
        <w:pStyle w:val="BodyText"/>
        <w:numPr>
          <w:ilvl w:val="0"/>
          <w:numId w:val="4"/>
        </w:numPr>
        <w:jc w:val="both"/>
        <w:rPr>
          <w:szCs w:val="24"/>
        </w:rPr>
      </w:pPr>
      <w:r>
        <w:t xml:space="preserve">Lenders </w:t>
      </w:r>
      <w:smartTag w:uri="urn:schemas-microsoft-com:office:smarttags" w:element="stockticker">
        <w:r>
          <w:t>MAY</w:t>
        </w:r>
      </w:smartTag>
      <w:r>
        <w:t xml:space="preserve"> delete the word “Witnesses” and the two accompanying lines for witness signatures that appear to the left of the Borrower signature lines on the last page, if the document is notarized.</w:t>
      </w:r>
    </w:p>
    <w:p w14:paraId="0B9C28C2" w14:textId="77777777" w:rsidR="00883E66" w:rsidRPr="00883E66" w:rsidRDefault="00883E66" w:rsidP="000E4110">
      <w:pPr>
        <w:pStyle w:val="BodyText"/>
        <w:jc w:val="both"/>
        <w:rPr>
          <w:szCs w:val="24"/>
        </w:rPr>
      </w:pPr>
    </w:p>
    <w:p w14:paraId="2EC3D7F0" w14:textId="77777777" w:rsidR="00306263" w:rsidRPr="00883E66" w:rsidRDefault="00306263">
      <w:pPr>
        <w:jc w:val="both"/>
        <w:rPr>
          <w:sz w:val="24"/>
          <w:szCs w:val="24"/>
        </w:rPr>
      </w:pPr>
    </w:p>
    <w:p w14:paraId="2A3FEF06" w14:textId="77777777" w:rsidR="00306263" w:rsidRPr="00883E66" w:rsidRDefault="00306263">
      <w:pPr>
        <w:jc w:val="both"/>
        <w:rPr>
          <w:b/>
          <w:sz w:val="24"/>
          <w:szCs w:val="24"/>
        </w:rPr>
      </w:pPr>
      <w:r w:rsidRPr="00883E66">
        <w:rPr>
          <w:b/>
          <w:sz w:val="24"/>
          <w:szCs w:val="24"/>
        </w:rPr>
        <w:t>Other Pertinent Information</w:t>
      </w:r>
    </w:p>
    <w:p w14:paraId="71C1950A" w14:textId="77777777" w:rsidR="00306263" w:rsidRPr="00883E66" w:rsidRDefault="00306263">
      <w:pPr>
        <w:jc w:val="both"/>
        <w:rPr>
          <w:sz w:val="24"/>
          <w:szCs w:val="24"/>
        </w:rPr>
      </w:pPr>
      <w:r w:rsidRPr="00883E66">
        <w:rPr>
          <w:sz w:val="24"/>
          <w:szCs w:val="24"/>
        </w:rPr>
        <w:t>Any special instructions related to preparation of this document, use of special signature forms, required riders or addenda, etc. are discussed below.</w:t>
      </w:r>
    </w:p>
    <w:p w14:paraId="2A7F9500" w14:textId="77777777" w:rsidR="00306263" w:rsidRPr="00883E66" w:rsidRDefault="00306263">
      <w:pPr>
        <w:jc w:val="both"/>
        <w:rPr>
          <w:sz w:val="24"/>
          <w:szCs w:val="24"/>
        </w:rPr>
      </w:pPr>
    </w:p>
    <w:p w14:paraId="7B83D7EB" w14:textId="77777777" w:rsidR="00306263" w:rsidRPr="00883E66" w:rsidRDefault="00306263" w:rsidP="00E545E3">
      <w:pPr>
        <w:ind w:firstLine="720"/>
        <w:jc w:val="both"/>
        <w:rPr>
          <w:sz w:val="24"/>
          <w:szCs w:val="24"/>
        </w:rPr>
      </w:pPr>
      <w:r w:rsidRPr="00883E66">
        <w:rPr>
          <w:sz w:val="24"/>
          <w:szCs w:val="24"/>
        </w:rPr>
        <w:t>None</w:t>
      </w:r>
    </w:p>
    <w:p w14:paraId="0BFF580C" w14:textId="77777777" w:rsidR="00F971AE" w:rsidRPr="00883E66" w:rsidRDefault="00F971AE">
      <w:pPr>
        <w:jc w:val="both"/>
        <w:rPr>
          <w:sz w:val="24"/>
          <w:szCs w:val="24"/>
        </w:rPr>
      </w:pPr>
    </w:p>
    <w:p w14:paraId="5DE179A2" w14:textId="77777777" w:rsidR="00F971AE" w:rsidRPr="00883E66" w:rsidRDefault="00F971AE">
      <w:pPr>
        <w:jc w:val="both"/>
        <w:rPr>
          <w:sz w:val="24"/>
          <w:szCs w:val="24"/>
        </w:rPr>
      </w:pPr>
    </w:p>
    <w:sectPr w:rsidR="00F971AE" w:rsidRPr="00883E66">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353F3" w14:textId="77777777" w:rsidR="00BD5AB4" w:rsidRDefault="00BD5AB4" w:rsidP="00F971AE">
      <w:r>
        <w:separator/>
      </w:r>
    </w:p>
  </w:endnote>
  <w:endnote w:type="continuationSeparator" w:id="0">
    <w:p w14:paraId="4A28AC28" w14:textId="77777777" w:rsidR="00BD5AB4" w:rsidRDefault="00BD5AB4" w:rsidP="00F9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xzzx">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20E7" w14:textId="072AC073" w:rsidR="00466DF2" w:rsidRPr="00A412CD" w:rsidRDefault="00466DF2" w:rsidP="00466DF2">
    <w:pPr>
      <w:widowControl w:val="0"/>
      <w:tabs>
        <w:tab w:val="right" w:pos="9900"/>
      </w:tabs>
      <w:autoSpaceDE w:val="0"/>
      <w:autoSpaceDN w:val="0"/>
      <w:adjustRightInd w:val="0"/>
      <w:rPr>
        <w:bCs/>
        <w:sz w:val="14"/>
        <w:szCs w:val="14"/>
      </w:rPr>
    </w:pPr>
    <w:r w:rsidRPr="00A412CD">
      <w:rPr>
        <w:b/>
        <w:sz w:val="16"/>
        <w:szCs w:val="16"/>
      </w:rPr>
      <w:t xml:space="preserve">Fannie Mae Instructions to Form </w:t>
    </w:r>
    <w:r>
      <w:rPr>
        <w:b/>
        <w:sz w:val="16"/>
        <w:szCs w:val="16"/>
      </w:rPr>
      <w:t>3044.1</w:t>
    </w:r>
    <w:r w:rsidRPr="00A412CD">
      <w:rPr>
        <w:b/>
        <w:sz w:val="14"/>
        <w:szCs w:val="14"/>
      </w:rPr>
      <w:tab/>
    </w:r>
    <w:r w:rsidR="00F66AEC">
      <w:rPr>
        <w:bCs/>
        <w:sz w:val="14"/>
        <w:szCs w:val="14"/>
      </w:rPr>
      <w:t>10</w:t>
    </w:r>
    <w:r w:rsidR="00EC2C2B">
      <w:rPr>
        <w:bCs/>
        <w:sz w:val="14"/>
        <w:szCs w:val="14"/>
      </w:rPr>
      <w:t>/202</w:t>
    </w:r>
    <w:r w:rsidR="00402995">
      <w:rPr>
        <w:bCs/>
        <w:sz w:val="14"/>
        <w:szCs w:val="14"/>
      </w:rPr>
      <w:t>4</w:t>
    </w:r>
  </w:p>
  <w:p w14:paraId="7FBCCF11" w14:textId="37129C7A" w:rsidR="00F971AE" w:rsidRPr="00DF1B7C" w:rsidRDefault="00466DF2" w:rsidP="00DF1B7C">
    <w:pPr>
      <w:widowControl w:val="0"/>
      <w:tabs>
        <w:tab w:val="right" w:pos="9900"/>
      </w:tabs>
      <w:autoSpaceDE w:val="0"/>
      <w:autoSpaceDN w:val="0"/>
      <w:adjustRightInd w:val="0"/>
      <w:rPr>
        <w:sz w:val="14"/>
        <w:szCs w:val="14"/>
      </w:rPr>
    </w:pPr>
    <w:r>
      <w:rPr>
        <w:b/>
        <w:sz w:val="14"/>
        <w:szCs w:val="14"/>
      </w:rPr>
      <w:t>Texas Home Equity Security Instrument (First Lien)</w:t>
    </w:r>
    <w:r w:rsidRPr="00A412CD">
      <w:rPr>
        <w:b/>
        <w:sz w:val="14"/>
        <w:szCs w:val="14"/>
      </w:rPr>
      <w:t xml:space="preserve"> - </w:t>
    </w:r>
    <w:r w:rsidRPr="00A412CD">
      <w:rPr>
        <w:bCs/>
        <w:sz w:val="14"/>
        <w:szCs w:val="14"/>
      </w:rPr>
      <w:t xml:space="preserve">Single Family </w:t>
    </w:r>
    <w:r w:rsidRPr="00A412CD">
      <w:rPr>
        <w:b/>
        <w:sz w:val="14"/>
        <w:szCs w:val="14"/>
      </w:rPr>
      <w:t>- Fannie Mae/Freddie Mac UNIFORM INSTRUMENT</w:t>
    </w:r>
    <w:r w:rsidRPr="00A412CD">
      <w:rPr>
        <w:sz w:val="14"/>
        <w:szCs w:val="14"/>
      </w:rPr>
      <w:tab/>
      <w:t xml:space="preserve"> </w:t>
    </w:r>
    <w:r w:rsidRPr="00A412CD">
      <w:rPr>
        <w:i/>
        <w:sz w:val="14"/>
        <w:szCs w:val="14"/>
      </w:rPr>
      <w:t xml:space="preserve">Page </w:t>
    </w:r>
    <w:r w:rsidRPr="00A412CD">
      <w:rPr>
        <w:i/>
        <w:sz w:val="14"/>
        <w:szCs w:val="14"/>
      </w:rPr>
      <w:fldChar w:fldCharType="begin"/>
    </w:r>
    <w:r w:rsidRPr="00A412CD">
      <w:rPr>
        <w:i/>
        <w:sz w:val="14"/>
        <w:szCs w:val="14"/>
      </w:rPr>
      <w:instrText xml:space="preserve"> PAGE </w:instrText>
    </w:r>
    <w:r w:rsidRPr="00A412CD">
      <w:rPr>
        <w:i/>
        <w:sz w:val="14"/>
        <w:szCs w:val="14"/>
      </w:rPr>
      <w:fldChar w:fldCharType="separate"/>
    </w:r>
    <w:r>
      <w:rPr>
        <w:i/>
        <w:sz w:val="14"/>
        <w:szCs w:val="14"/>
      </w:rPr>
      <w:t>1</w:t>
    </w:r>
    <w:r w:rsidRPr="00A412CD">
      <w:rPr>
        <w:i/>
        <w:sz w:val="14"/>
        <w:szCs w:val="14"/>
      </w:rPr>
      <w:fldChar w:fldCharType="end"/>
    </w:r>
    <w:r w:rsidRPr="00A412CD">
      <w:rPr>
        <w:i/>
        <w:sz w:val="14"/>
        <w:szCs w:val="14"/>
      </w:rPr>
      <w:t xml:space="preserve"> of </w:t>
    </w:r>
    <w:r w:rsidRPr="00A412CD">
      <w:rPr>
        <w:i/>
        <w:sz w:val="14"/>
        <w:szCs w:val="14"/>
      </w:rPr>
      <w:fldChar w:fldCharType="begin"/>
    </w:r>
    <w:r w:rsidRPr="00A412CD">
      <w:rPr>
        <w:i/>
        <w:sz w:val="14"/>
        <w:szCs w:val="14"/>
      </w:rPr>
      <w:instrText xml:space="preserve"> NUMPAGES  </w:instrText>
    </w:r>
    <w:r w:rsidRPr="00A412CD">
      <w:rPr>
        <w:i/>
        <w:sz w:val="14"/>
        <w:szCs w:val="14"/>
      </w:rPr>
      <w:fldChar w:fldCharType="separate"/>
    </w:r>
    <w:r>
      <w:rPr>
        <w:i/>
        <w:sz w:val="14"/>
        <w:szCs w:val="14"/>
      </w:rPr>
      <w:t>5</w:t>
    </w:r>
    <w:r w:rsidRPr="00A412CD">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41B50" w14:textId="77777777" w:rsidR="00BD5AB4" w:rsidRDefault="00BD5AB4" w:rsidP="00F971AE">
      <w:r>
        <w:separator/>
      </w:r>
    </w:p>
  </w:footnote>
  <w:footnote w:type="continuationSeparator" w:id="0">
    <w:p w14:paraId="6DBD47A5" w14:textId="77777777" w:rsidR="00BD5AB4" w:rsidRDefault="00BD5AB4" w:rsidP="00F97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7FDF"/>
    <w:multiLevelType w:val="hybridMultilevel"/>
    <w:tmpl w:val="B7EA44D2"/>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4C5E"/>
    <w:multiLevelType w:val="hybridMultilevel"/>
    <w:tmpl w:val="A0BA6D70"/>
    <w:lvl w:ilvl="0" w:tplc="8EAE19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73796"/>
    <w:multiLevelType w:val="hybridMultilevel"/>
    <w:tmpl w:val="6AB2BB60"/>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D4A11"/>
    <w:multiLevelType w:val="hybridMultilevel"/>
    <w:tmpl w:val="54549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D5AD9"/>
    <w:multiLevelType w:val="hybridMultilevel"/>
    <w:tmpl w:val="04CC7288"/>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60C9F"/>
    <w:multiLevelType w:val="hybridMultilevel"/>
    <w:tmpl w:val="DF5A3CA0"/>
    <w:lvl w:ilvl="0" w:tplc="7DE2D6D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32B04"/>
    <w:multiLevelType w:val="hybridMultilevel"/>
    <w:tmpl w:val="F3161D28"/>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8319E"/>
    <w:multiLevelType w:val="hybridMultilevel"/>
    <w:tmpl w:val="5602EBB6"/>
    <w:lvl w:ilvl="0" w:tplc="7DE2D6D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4E03F5"/>
    <w:multiLevelType w:val="hybridMultilevel"/>
    <w:tmpl w:val="1212A532"/>
    <w:lvl w:ilvl="0" w:tplc="7DE2D6D0">
      <w:start w:val="1"/>
      <w:numFmt w:val="decimal"/>
      <w:lvlText w:val="%1."/>
      <w:lvlJc w:val="left"/>
      <w:pPr>
        <w:ind w:left="720" w:hanging="360"/>
      </w:pPr>
      <w:rPr>
        <w:rFonts w:hint="default"/>
        <w:b w:val="0"/>
        <w:b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4261DD"/>
    <w:multiLevelType w:val="hybridMultilevel"/>
    <w:tmpl w:val="497A26D0"/>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548FF"/>
    <w:multiLevelType w:val="hybridMultilevel"/>
    <w:tmpl w:val="5F42D544"/>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404"/>
    <w:multiLevelType w:val="hybridMultilevel"/>
    <w:tmpl w:val="9AD6B0AC"/>
    <w:lvl w:ilvl="0" w:tplc="8EAE1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DB347C"/>
    <w:multiLevelType w:val="hybridMultilevel"/>
    <w:tmpl w:val="7D20BB7A"/>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C18B6"/>
    <w:multiLevelType w:val="hybridMultilevel"/>
    <w:tmpl w:val="78C0F164"/>
    <w:lvl w:ilvl="0" w:tplc="7DE2D6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A3CCA"/>
    <w:multiLevelType w:val="hybridMultilevel"/>
    <w:tmpl w:val="C0E22C72"/>
    <w:lvl w:ilvl="0" w:tplc="48C86E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95514"/>
    <w:multiLevelType w:val="hybridMultilevel"/>
    <w:tmpl w:val="7FA43BA4"/>
    <w:lvl w:ilvl="0" w:tplc="2D568DE8">
      <w:start w:val="1"/>
      <w:numFmt w:val="decimal"/>
      <w:lvlText w:val="%1."/>
      <w:lvlJc w:val="left"/>
      <w:pPr>
        <w:ind w:left="1080" w:hanging="720"/>
      </w:pPr>
      <w:rPr>
        <w:rFonts w:hint="default"/>
      </w:rPr>
    </w:lvl>
    <w:lvl w:ilvl="1" w:tplc="56D49CD6">
      <w:start w:val="7"/>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178574">
    <w:abstractNumId w:val="1"/>
  </w:num>
  <w:num w:numId="2" w16cid:durableId="1165241897">
    <w:abstractNumId w:val="3"/>
  </w:num>
  <w:num w:numId="3" w16cid:durableId="1772161304">
    <w:abstractNumId w:val="15"/>
  </w:num>
  <w:num w:numId="4" w16cid:durableId="1128548980">
    <w:abstractNumId w:val="6"/>
  </w:num>
  <w:num w:numId="5" w16cid:durableId="1605645583">
    <w:abstractNumId w:val="11"/>
  </w:num>
  <w:num w:numId="6" w16cid:durableId="1850874623">
    <w:abstractNumId w:val="13"/>
  </w:num>
  <w:num w:numId="7" w16cid:durableId="876232879">
    <w:abstractNumId w:val="9"/>
  </w:num>
  <w:num w:numId="8" w16cid:durableId="1504055553">
    <w:abstractNumId w:val="4"/>
  </w:num>
  <w:num w:numId="9" w16cid:durableId="606691397">
    <w:abstractNumId w:val="0"/>
  </w:num>
  <w:num w:numId="10" w16cid:durableId="1363744780">
    <w:abstractNumId w:val="12"/>
  </w:num>
  <w:num w:numId="11" w16cid:durableId="1400640985">
    <w:abstractNumId w:val="14"/>
  </w:num>
  <w:num w:numId="12" w16cid:durableId="1862090145">
    <w:abstractNumId w:val="8"/>
  </w:num>
  <w:num w:numId="13" w16cid:durableId="829520731">
    <w:abstractNumId w:val="5"/>
  </w:num>
  <w:num w:numId="14" w16cid:durableId="1685546969">
    <w:abstractNumId w:val="10"/>
  </w:num>
  <w:num w:numId="15" w16cid:durableId="1608539305">
    <w:abstractNumId w:val="7"/>
  </w:num>
  <w:num w:numId="16" w16cid:durableId="49704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63"/>
    <w:rsid w:val="00001E00"/>
    <w:rsid w:val="00012543"/>
    <w:rsid w:val="00013AE4"/>
    <w:rsid w:val="00045DF3"/>
    <w:rsid w:val="00047BE5"/>
    <w:rsid w:val="0009591D"/>
    <w:rsid w:val="000D6DBF"/>
    <w:rsid w:val="000E4110"/>
    <w:rsid w:val="00112AF7"/>
    <w:rsid w:val="001B7DC6"/>
    <w:rsid w:val="001F2D1E"/>
    <w:rsid w:val="00282696"/>
    <w:rsid w:val="002C0B6B"/>
    <w:rsid w:val="002C3D7B"/>
    <w:rsid w:val="00306263"/>
    <w:rsid w:val="003314D7"/>
    <w:rsid w:val="003C3A91"/>
    <w:rsid w:val="003D440E"/>
    <w:rsid w:val="00402995"/>
    <w:rsid w:val="00466DF2"/>
    <w:rsid w:val="00470B10"/>
    <w:rsid w:val="005943C0"/>
    <w:rsid w:val="005B29C1"/>
    <w:rsid w:val="00613125"/>
    <w:rsid w:val="006570F8"/>
    <w:rsid w:val="0068260B"/>
    <w:rsid w:val="00713EBA"/>
    <w:rsid w:val="00773A54"/>
    <w:rsid w:val="007869F2"/>
    <w:rsid w:val="00793AF8"/>
    <w:rsid w:val="007F4067"/>
    <w:rsid w:val="00800213"/>
    <w:rsid w:val="00804E6E"/>
    <w:rsid w:val="00883E66"/>
    <w:rsid w:val="00887A55"/>
    <w:rsid w:val="008B5737"/>
    <w:rsid w:val="008C0ED5"/>
    <w:rsid w:val="008E0088"/>
    <w:rsid w:val="008E547F"/>
    <w:rsid w:val="00905120"/>
    <w:rsid w:val="009B78BD"/>
    <w:rsid w:val="009D1B37"/>
    <w:rsid w:val="009E283C"/>
    <w:rsid w:val="00AF74A2"/>
    <w:rsid w:val="00B0566B"/>
    <w:rsid w:val="00B10CC1"/>
    <w:rsid w:val="00B63867"/>
    <w:rsid w:val="00B64FFA"/>
    <w:rsid w:val="00BD5AB4"/>
    <w:rsid w:val="00C074FE"/>
    <w:rsid w:val="00C65073"/>
    <w:rsid w:val="00CA2F2A"/>
    <w:rsid w:val="00CD2BFB"/>
    <w:rsid w:val="00D718E6"/>
    <w:rsid w:val="00D73419"/>
    <w:rsid w:val="00D93099"/>
    <w:rsid w:val="00DA5526"/>
    <w:rsid w:val="00DD2EE2"/>
    <w:rsid w:val="00DE39C2"/>
    <w:rsid w:val="00DF1B7C"/>
    <w:rsid w:val="00DF32A8"/>
    <w:rsid w:val="00E545E3"/>
    <w:rsid w:val="00E73373"/>
    <w:rsid w:val="00E76171"/>
    <w:rsid w:val="00E76CBF"/>
    <w:rsid w:val="00EC2C2B"/>
    <w:rsid w:val="00F25AFD"/>
    <w:rsid w:val="00F66AEC"/>
    <w:rsid w:val="00F9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2BA61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link w:val="HeaderChar"/>
    <w:rsid w:val="00F971AE"/>
    <w:pPr>
      <w:tabs>
        <w:tab w:val="center" w:pos="4680"/>
        <w:tab w:val="right" w:pos="9360"/>
      </w:tabs>
    </w:pPr>
  </w:style>
  <w:style w:type="character" w:customStyle="1" w:styleId="HeaderChar">
    <w:name w:val="Header Char"/>
    <w:basedOn w:val="DefaultParagraphFont"/>
    <w:link w:val="Header"/>
    <w:rsid w:val="00F971AE"/>
  </w:style>
  <w:style w:type="paragraph" w:styleId="Footer">
    <w:name w:val="footer"/>
    <w:basedOn w:val="Normal"/>
    <w:link w:val="FooterChar"/>
    <w:uiPriority w:val="99"/>
    <w:rsid w:val="00F971AE"/>
    <w:pPr>
      <w:tabs>
        <w:tab w:val="center" w:pos="4680"/>
        <w:tab w:val="right" w:pos="9360"/>
      </w:tabs>
    </w:pPr>
  </w:style>
  <w:style w:type="character" w:customStyle="1" w:styleId="FooterChar">
    <w:name w:val="Footer Char"/>
    <w:basedOn w:val="DefaultParagraphFont"/>
    <w:link w:val="Footer"/>
    <w:uiPriority w:val="99"/>
    <w:rsid w:val="00F971AE"/>
  </w:style>
  <w:style w:type="paragraph" w:styleId="CommentText">
    <w:name w:val="annotation text"/>
    <w:basedOn w:val="Normal"/>
    <w:link w:val="CommentTextChar"/>
    <w:rsid w:val="00F971AE"/>
    <w:pPr>
      <w:overflowPunct w:val="0"/>
      <w:autoSpaceDE w:val="0"/>
      <w:autoSpaceDN w:val="0"/>
      <w:adjustRightInd w:val="0"/>
      <w:textAlignment w:val="baseline"/>
    </w:pPr>
    <w:rPr>
      <w:rFonts w:ascii="xzzx" w:hAnsi="xzzx"/>
    </w:rPr>
  </w:style>
  <w:style w:type="character" w:customStyle="1" w:styleId="CommentTextChar">
    <w:name w:val="Comment Text Char"/>
    <w:link w:val="CommentText"/>
    <w:rsid w:val="00F971AE"/>
    <w:rPr>
      <w:rFonts w:ascii="xzzx" w:hAnsi="xzzx"/>
    </w:rPr>
  </w:style>
  <w:style w:type="character" w:styleId="CommentReference">
    <w:name w:val="annotation reference"/>
    <w:rsid w:val="00F971AE"/>
    <w:rPr>
      <w:sz w:val="16"/>
      <w:szCs w:val="16"/>
    </w:rPr>
  </w:style>
  <w:style w:type="paragraph" w:styleId="BalloonText">
    <w:name w:val="Balloon Text"/>
    <w:basedOn w:val="Normal"/>
    <w:link w:val="BalloonTextChar"/>
    <w:rsid w:val="005943C0"/>
    <w:rPr>
      <w:rFonts w:ascii="Segoe UI" w:hAnsi="Segoe UI" w:cs="Segoe UI"/>
      <w:sz w:val="18"/>
      <w:szCs w:val="18"/>
    </w:rPr>
  </w:style>
  <w:style w:type="character" w:customStyle="1" w:styleId="BalloonTextChar">
    <w:name w:val="Balloon Text Char"/>
    <w:link w:val="BalloonText"/>
    <w:rsid w:val="005943C0"/>
    <w:rPr>
      <w:rFonts w:ascii="Segoe UI" w:hAnsi="Segoe UI" w:cs="Segoe UI"/>
      <w:sz w:val="18"/>
      <w:szCs w:val="18"/>
    </w:rPr>
  </w:style>
  <w:style w:type="paragraph" w:styleId="CommentSubject">
    <w:name w:val="annotation subject"/>
    <w:basedOn w:val="CommentText"/>
    <w:next w:val="CommentText"/>
    <w:link w:val="CommentSubjectChar"/>
    <w:rsid w:val="00773A54"/>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rsid w:val="00773A54"/>
    <w:rPr>
      <w:rFonts w:ascii="xzzx" w:hAnsi="xzzx"/>
      <w:b/>
      <w:bCs/>
    </w:rPr>
  </w:style>
  <w:style w:type="paragraph" w:styleId="ListParagraph">
    <w:name w:val="List Paragraph"/>
    <w:basedOn w:val="Normal"/>
    <w:uiPriority w:val="34"/>
    <w:qFormat/>
    <w:rsid w:val="00DF1B7C"/>
    <w:pPr>
      <w:ind w:left="720"/>
      <w:contextualSpacing/>
    </w:pPr>
  </w:style>
  <w:style w:type="paragraph" w:styleId="Revision">
    <w:name w:val="Revision"/>
    <w:hidden/>
    <w:uiPriority w:val="99"/>
    <w:semiHidden/>
    <w:rsid w:val="00D7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52A9-2470-4715-A607-6921B3A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Instructions: Texas Home Equity Security Instrument - First Lien (Form 3044.1)</vt:lpstr>
    </vt:vector>
  </TitlesOfParts>
  <Manager/>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Texas Home Equity Security Instrument - First Lien (Form 3044.1)</dc:title>
  <dc:subject>Fannie Mae/Freddie Mac Uniform Instrument</dc:subject>
  <dc:creator/>
  <cp:keywords>3044.1,Security Instruments,Negotiated,TX,English</cp:keywords>
  <dc:description/>
  <cp:lastModifiedBy/>
  <cp:revision>1</cp:revision>
  <cp:lastPrinted>2002-03-25T21:59:00Z</cp:lastPrinted>
  <dcterms:created xsi:type="dcterms:W3CDTF">2024-08-29T14:35:00Z</dcterms:created>
  <dcterms:modified xsi:type="dcterms:W3CDTF">2024-09-26T20:04:00Z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60b3b7c2-bd97-49c4-861e-9a4e2cb50904</vt:lpwstr>
  </property>
  <property fmtid="{D5CDD505-2E9C-101B-9397-08002B2CF9AE}" pid="3" name="MSIP_Label_4e20156e-8ff9-4098-bbf6-fbcae2f0b5f0_Enabled">
    <vt:lpwstr>true</vt:lpwstr>
  </property>
  <property fmtid="{D5CDD505-2E9C-101B-9397-08002B2CF9AE}" pid="4" name="MSIP_Label_4e20156e-8ff9-4098-bbf6-fbcae2f0b5f0_SetDate">
    <vt:lpwstr>2023-02-15T16:50:30Z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bfc3ee2d-d85e-4c56-8bad-b3ff58dda06d</vt:lpwstr>
  </property>
  <property fmtid="{D5CDD505-2E9C-101B-9397-08002B2CF9AE}" pid="9" name="MSIP_Label_4e20156e-8ff9-4098-bbf6-fbcae2f0b5f0_ContentBits">
    <vt:lpwstr>0</vt:lpwstr>
  </property>
</Properties>
</file>