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5CB2F725" w:rsidR="003C6FB8" w:rsidRDefault="00B543DD">
      <w:pPr>
        <w:rPr>
          <w:b/>
          <w:sz w:val="28"/>
        </w:rPr>
      </w:pPr>
      <w:r>
        <w:rPr>
          <w:b/>
          <w:sz w:val="28"/>
        </w:rPr>
        <w:t xml:space="preserve">West </w:t>
      </w:r>
      <w:r w:rsidR="000542BA">
        <w:rPr>
          <w:b/>
          <w:sz w:val="28"/>
        </w:rPr>
        <w:t>Virginia</w:t>
      </w:r>
      <w:r w:rsidR="00083B0D">
        <w:rPr>
          <w:b/>
          <w:sz w:val="28"/>
        </w:rPr>
        <w:t xml:space="preserve"> </w:t>
      </w:r>
      <w:r w:rsidR="003C6FB8">
        <w:rPr>
          <w:b/>
          <w:sz w:val="28"/>
        </w:rPr>
        <w:t xml:space="preserve">Adjustable Rate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sidR="00DC7CD1">
        <w:rPr>
          <w:b/>
          <w:sz w:val="28"/>
        </w:rPr>
        <w:t>4</w:t>
      </w:r>
      <w:r>
        <w:rPr>
          <w:b/>
          <w:sz w:val="28"/>
        </w:rPr>
        <w:t>9</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2BC633D4"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420DF1">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7A81A8A6"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02E19B06" w:rsidR="003C6FB8" w:rsidRDefault="00B543DD">
            <w:pPr>
              <w:rPr>
                <w:b/>
                <w:sz w:val="24"/>
              </w:rPr>
            </w:pPr>
            <w:r>
              <w:rPr>
                <w:b/>
                <w:sz w:val="24"/>
              </w:rPr>
              <w:t>WV</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2C00FD10"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77301E76" w14:textId="77777777" w:rsidR="000542BA" w:rsidRDefault="000542BA" w:rsidP="00420DF1">
      <w:pPr>
        <w:pStyle w:val="BodyText"/>
        <w:ind w:left="720"/>
        <w:jc w:val="both"/>
      </w:pP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64DDB25D" w14:textId="331F390B" w:rsidR="00E34066" w:rsidRDefault="00E34066" w:rsidP="00695A69">
      <w:pPr>
        <w:jc w:val="both"/>
        <w:rPr>
          <w:sz w:val="24"/>
        </w:rPr>
      </w:pPr>
    </w:p>
    <w:sectPr w:rsidR="00E34066" w:rsidSect="008A0E8A">
      <w:footerReference w:type="even" r:id="rId10"/>
      <w:footerReference w:type="defaul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979" w14:textId="12DDE83F" w:rsidR="003C41B2" w:rsidRDefault="003C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3D0F668C"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DC7CD1">
      <w:rPr>
        <w:rFonts w:eastAsiaTheme="minorEastAsia"/>
        <w:b/>
        <w:sz w:val="14"/>
        <w:szCs w:val="14"/>
      </w:rPr>
      <w:t>4</w:t>
    </w:r>
    <w:r w:rsidR="00B543DD">
      <w:rPr>
        <w:rFonts w:eastAsiaTheme="minorEastAsia"/>
        <w:b/>
        <w:sz w:val="14"/>
        <w:szCs w:val="14"/>
      </w:rPr>
      <w:t>9</w:t>
    </w:r>
    <w:r w:rsidRPr="00C3556B">
      <w:rPr>
        <w:rFonts w:eastAsiaTheme="minorEastAsia"/>
        <w:b/>
        <w:sz w:val="14"/>
        <w:szCs w:val="14"/>
      </w:rPr>
      <w:tab/>
    </w:r>
    <w:r w:rsidR="00420DF1">
      <w:rPr>
        <w:rFonts w:eastAsiaTheme="minorEastAsia"/>
        <w:bCs/>
        <w:sz w:val="14"/>
        <w:szCs w:val="14"/>
      </w:rPr>
      <w:t>05/2024</w:t>
    </w:r>
  </w:p>
  <w:p w14:paraId="018F440E" w14:textId="4AC1E65C" w:rsidR="00C3556B" w:rsidRPr="00C3556B" w:rsidRDefault="00B543DD" w:rsidP="00C3556B">
    <w:pPr>
      <w:widowControl w:val="0"/>
      <w:tabs>
        <w:tab w:val="right" w:pos="9900"/>
      </w:tabs>
      <w:autoSpaceDE w:val="0"/>
      <w:autoSpaceDN w:val="0"/>
      <w:adjustRightInd w:val="0"/>
      <w:rPr>
        <w:rFonts w:eastAsiaTheme="minorEastAsia"/>
        <w:b/>
        <w:sz w:val="14"/>
        <w:szCs w:val="14"/>
      </w:rPr>
    </w:pPr>
    <w:r>
      <w:rPr>
        <w:b/>
        <w:sz w:val="14"/>
        <w:szCs w:val="14"/>
      </w:rPr>
      <w:t xml:space="preserve">WEST </w:t>
    </w:r>
    <w:r w:rsidR="000542BA">
      <w:rPr>
        <w:b/>
        <w:sz w:val="14"/>
        <w:szCs w:val="14"/>
      </w:rPr>
      <w:t>VIRGINIA</w:t>
    </w:r>
    <w:r w:rsidR="00083B0D" w:rsidRPr="00C3556B">
      <w:rPr>
        <w:b/>
        <w:sz w:val="14"/>
        <w:szCs w:val="14"/>
      </w:rPr>
      <w:t xml:space="preserve"> </w:t>
    </w:r>
    <w:r w:rsidR="00C3556B" w:rsidRPr="00C3556B">
      <w:rPr>
        <w:b/>
        <w:sz w:val="14"/>
        <w:szCs w:val="14"/>
      </w:rPr>
      <w:t>ADJUSTABLE RATE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A21" w14:textId="3CF9250E" w:rsidR="003C41B2" w:rsidRDefault="003C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542BA"/>
    <w:rsid w:val="00083B0D"/>
    <w:rsid w:val="0008731C"/>
    <w:rsid w:val="000A67D7"/>
    <w:rsid w:val="000B00A7"/>
    <w:rsid w:val="000C12FD"/>
    <w:rsid w:val="000E2B04"/>
    <w:rsid w:val="00125841"/>
    <w:rsid w:val="00142608"/>
    <w:rsid w:val="001578E1"/>
    <w:rsid w:val="001D2A9A"/>
    <w:rsid w:val="001D69FA"/>
    <w:rsid w:val="00232373"/>
    <w:rsid w:val="00260AD6"/>
    <w:rsid w:val="00263419"/>
    <w:rsid w:val="002969F3"/>
    <w:rsid w:val="002D3AFB"/>
    <w:rsid w:val="002E0A3B"/>
    <w:rsid w:val="003173B8"/>
    <w:rsid w:val="003345DD"/>
    <w:rsid w:val="003C41B2"/>
    <w:rsid w:val="003C4527"/>
    <w:rsid w:val="003C6FB8"/>
    <w:rsid w:val="003D5141"/>
    <w:rsid w:val="00417CB9"/>
    <w:rsid w:val="00420DF1"/>
    <w:rsid w:val="00436E48"/>
    <w:rsid w:val="004443B9"/>
    <w:rsid w:val="00445F41"/>
    <w:rsid w:val="00456C70"/>
    <w:rsid w:val="004D1E7B"/>
    <w:rsid w:val="00502088"/>
    <w:rsid w:val="00537FE8"/>
    <w:rsid w:val="00561A4E"/>
    <w:rsid w:val="00576599"/>
    <w:rsid w:val="00591FBE"/>
    <w:rsid w:val="00592874"/>
    <w:rsid w:val="005C6C68"/>
    <w:rsid w:val="00651BD8"/>
    <w:rsid w:val="00664671"/>
    <w:rsid w:val="0067624A"/>
    <w:rsid w:val="00695A69"/>
    <w:rsid w:val="006E1F98"/>
    <w:rsid w:val="00713728"/>
    <w:rsid w:val="00714096"/>
    <w:rsid w:val="007161B3"/>
    <w:rsid w:val="00757F6C"/>
    <w:rsid w:val="0077350A"/>
    <w:rsid w:val="007769AD"/>
    <w:rsid w:val="007804EF"/>
    <w:rsid w:val="0078406C"/>
    <w:rsid w:val="007B4C6E"/>
    <w:rsid w:val="007D6D48"/>
    <w:rsid w:val="007F1630"/>
    <w:rsid w:val="007F5316"/>
    <w:rsid w:val="008034D9"/>
    <w:rsid w:val="008459DE"/>
    <w:rsid w:val="008A0E8A"/>
    <w:rsid w:val="008D7241"/>
    <w:rsid w:val="008E2457"/>
    <w:rsid w:val="008F5257"/>
    <w:rsid w:val="009116CC"/>
    <w:rsid w:val="009156CB"/>
    <w:rsid w:val="0092110F"/>
    <w:rsid w:val="009320E9"/>
    <w:rsid w:val="009400EB"/>
    <w:rsid w:val="00940A26"/>
    <w:rsid w:val="00995E20"/>
    <w:rsid w:val="009A3AED"/>
    <w:rsid w:val="009B119F"/>
    <w:rsid w:val="009E2A30"/>
    <w:rsid w:val="00A27802"/>
    <w:rsid w:val="00A40F20"/>
    <w:rsid w:val="00A448CA"/>
    <w:rsid w:val="00A4513C"/>
    <w:rsid w:val="00A53D5E"/>
    <w:rsid w:val="00A84C9D"/>
    <w:rsid w:val="00AD06E7"/>
    <w:rsid w:val="00AD0707"/>
    <w:rsid w:val="00B03561"/>
    <w:rsid w:val="00B543DD"/>
    <w:rsid w:val="00B90AA5"/>
    <w:rsid w:val="00B91898"/>
    <w:rsid w:val="00BA179B"/>
    <w:rsid w:val="00C3556B"/>
    <w:rsid w:val="00C376DE"/>
    <w:rsid w:val="00C96570"/>
    <w:rsid w:val="00D04D13"/>
    <w:rsid w:val="00D30F43"/>
    <w:rsid w:val="00D44091"/>
    <w:rsid w:val="00D517DD"/>
    <w:rsid w:val="00D76137"/>
    <w:rsid w:val="00D9548F"/>
    <w:rsid w:val="00D978C0"/>
    <w:rsid w:val="00DC701F"/>
    <w:rsid w:val="00DC7CD1"/>
    <w:rsid w:val="00DE00BC"/>
    <w:rsid w:val="00DE619B"/>
    <w:rsid w:val="00E07FBF"/>
    <w:rsid w:val="00E10B35"/>
    <w:rsid w:val="00E34066"/>
    <w:rsid w:val="00E4231F"/>
    <w:rsid w:val="00E431AB"/>
    <w:rsid w:val="00E51439"/>
    <w:rsid w:val="00E65CBE"/>
    <w:rsid w:val="00E923EA"/>
    <w:rsid w:val="00EA043D"/>
    <w:rsid w:val="00EA365A"/>
    <w:rsid w:val="00ED0722"/>
    <w:rsid w:val="00ED5962"/>
    <w:rsid w:val="00EE7D3D"/>
    <w:rsid w:val="00F02C92"/>
    <w:rsid w:val="00F35DDE"/>
    <w:rsid w:val="00F4096B"/>
    <w:rsid w:val="00F51814"/>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13968-AE61-4E49-B4CE-F0354C44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Quatrale, Ashley</cp:lastModifiedBy>
  <cp:revision>4</cp:revision>
  <cp:lastPrinted>2001-10-31T15:14:00Z</cp:lastPrinted>
  <dcterms:created xsi:type="dcterms:W3CDTF">2024-03-05T20:33:00Z</dcterms:created>
  <dcterms:modified xsi:type="dcterms:W3CDTF">2024-03-05T20:34:00Z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2024-03-05T20:34:14Z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d88852c0-1b12-48fd-b6db-548d61e6d206</vt:lpwstr>
  </property>
  <property fmtid="{D5CDD505-2E9C-101B-9397-08002B2CF9AE}" pid="9" name="MSIP_Label_4e20156e-8ff9-4098-bbf6-fbcae2f0b5f0_ContentBits">
    <vt:lpwstr>0</vt:lpwstr>
  </property>
</Properties>
</file>