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3CE50ED5" w:rsidR="00055824" w:rsidRPr="00EA77E3" w:rsidRDefault="008D28E3">
      <w:pPr>
        <w:rPr>
          <w:b/>
          <w:sz w:val="28"/>
        </w:rPr>
      </w:pPr>
      <w:r>
        <w:rPr>
          <w:b/>
          <w:sz w:val="28"/>
        </w:rPr>
        <w:t xml:space="preserve">Virginia </w:t>
      </w:r>
      <w:r w:rsidR="00055824" w:rsidRPr="00EA77E3">
        <w:rPr>
          <w:b/>
          <w:sz w:val="28"/>
        </w:rPr>
        <w:t>Fixed/</w:t>
      </w:r>
      <w:proofErr w:type="gramStart"/>
      <w:r w:rsidR="00055824" w:rsidRPr="00EA77E3">
        <w:rPr>
          <w:b/>
          <w:sz w:val="28"/>
        </w:rPr>
        <w:t>Adjustable Rate</w:t>
      </w:r>
      <w:proofErr w:type="gramEnd"/>
      <w:r w:rsidR="00055824" w:rsidRPr="00EA77E3">
        <w:rPr>
          <w:b/>
          <w:sz w:val="28"/>
        </w:rPr>
        <w:t xml:space="preserv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sidR="00365EE9">
        <w:rPr>
          <w:b/>
          <w:sz w:val="28"/>
        </w:rPr>
        <w:t>.4</w:t>
      </w:r>
      <w:r>
        <w:rPr>
          <w:b/>
          <w:sz w:val="28"/>
        </w:rPr>
        <w:t>7</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21A43572" w:rsidR="00055824" w:rsidRPr="00EA77E3" w:rsidRDefault="00055824" w:rsidP="003C4BDD">
      <w:pPr>
        <w:tabs>
          <w:tab w:val="left" w:pos="4680"/>
        </w:tabs>
        <w:rPr>
          <w:sz w:val="24"/>
        </w:rPr>
      </w:pPr>
      <w:r w:rsidRPr="00EA77E3">
        <w:rPr>
          <w:sz w:val="24"/>
        </w:rPr>
        <w:t>Note</w:t>
      </w:r>
      <w:r w:rsidRPr="00EA77E3">
        <w:rPr>
          <w:sz w:val="24"/>
        </w:rPr>
        <w:tab/>
      </w:r>
      <w:r w:rsidR="00DD65FC">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5593EEFA"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4D217D13" w:rsidR="00055824" w:rsidRPr="00470E4E" w:rsidRDefault="00365EE9" w:rsidP="00F511CF">
            <w:pPr>
              <w:rPr>
                <w:b/>
                <w:sz w:val="24"/>
              </w:rPr>
            </w:pPr>
            <w:r>
              <w:rPr>
                <w:b/>
                <w:sz w:val="24"/>
              </w:rPr>
              <w:t>V</w:t>
            </w:r>
            <w:r w:rsidR="008D28E3">
              <w:rPr>
                <w:b/>
                <w:sz w:val="24"/>
              </w:rPr>
              <w:t>A</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22CE46E1"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2AF3EEF4"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17B6461A" w14:textId="77777777" w:rsidR="0069164A" w:rsidRPr="00EA77E3" w:rsidRDefault="0069164A" w:rsidP="0069164A">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text after the Borrower signature lines, if the security property </w:t>
      </w:r>
      <w:proofErr w:type="gramStart"/>
      <w:r w:rsidRPr="00EA77E3">
        <w:rPr>
          <w:sz w:val="24"/>
        </w:rPr>
        <w:t>is located in</w:t>
      </w:r>
      <w:proofErr w:type="gramEnd"/>
      <w:r w:rsidRPr="00EA77E3">
        <w:rPr>
          <w:sz w:val="24"/>
        </w:rPr>
        <w:t xml:space="preserve"> </w:t>
      </w:r>
      <w:r w:rsidRPr="00EA77E3">
        <w:rPr>
          <w:sz w:val="24"/>
          <w:u w:val="single"/>
        </w:rPr>
        <w:t>Virginia</w:t>
      </w:r>
      <w:r w:rsidRPr="00EA77E3">
        <w:rPr>
          <w:sz w:val="24"/>
        </w:rPr>
        <w:t>:</w:t>
      </w:r>
    </w:p>
    <w:p w14:paraId="46AC07E5" w14:textId="77777777" w:rsidR="0069164A" w:rsidRPr="00EA77E3" w:rsidRDefault="0069164A" w:rsidP="0069164A">
      <w:pPr>
        <w:jc w:val="both"/>
        <w:rPr>
          <w:sz w:val="24"/>
        </w:rPr>
      </w:pPr>
    </w:p>
    <w:p w14:paraId="50B7BBB9" w14:textId="77777777" w:rsidR="0069164A" w:rsidRPr="00EA77E3" w:rsidRDefault="0069164A" w:rsidP="0069164A">
      <w:pPr>
        <w:ind w:left="1440"/>
        <w:jc w:val="both"/>
        <w:rPr>
          <w:i/>
          <w:sz w:val="22"/>
        </w:rPr>
      </w:pPr>
      <w:r w:rsidRPr="00EA77E3">
        <w:rPr>
          <w:i/>
          <w:sz w:val="22"/>
        </w:rPr>
        <w:t>This is to certify that this is the Note described in and secured by a Deed of Trust dated _____________, ____ on the Property located in ___________________, Virginia.</w:t>
      </w:r>
    </w:p>
    <w:p w14:paraId="33A998C0" w14:textId="77777777" w:rsidR="0069164A" w:rsidRPr="00EA77E3" w:rsidRDefault="0069164A" w:rsidP="0069164A">
      <w:pPr>
        <w:jc w:val="both"/>
        <w:rPr>
          <w:i/>
          <w:sz w:val="22"/>
        </w:rPr>
      </w:pPr>
    </w:p>
    <w:p w14:paraId="0C55D0D9" w14:textId="77777777" w:rsidR="0069164A" w:rsidRPr="00D44091" w:rsidRDefault="0069164A" w:rsidP="0069164A">
      <w:pPr>
        <w:ind w:left="1080"/>
        <w:jc w:val="both"/>
        <w:rPr>
          <w:i/>
          <w:sz w:val="22"/>
        </w:rPr>
      </w:pPr>
      <w:r w:rsidRPr="00EA77E3">
        <w:rPr>
          <w:i/>
          <w:sz w:val="22"/>
        </w:rPr>
        <w:tab/>
      </w:r>
      <w:r w:rsidRPr="00EA77E3">
        <w:rPr>
          <w:i/>
          <w:sz w:val="22"/>
        </w:rPr>
        <w:tab/>
      </w:r>
    </w:p>
    <w:p w14:paraId="5339D92A" w14:textId="77777777" w:rsidR="0069164A" w:rsidRDefault="0069164A" w:rsidP="0069164A">
      <w:pPr>
        <w:ind w:left="1440"/>
        <w:jc w:val="both"/>
        <w:rPr>
          <w:i/>
          <w:sz w:val="22"/>
        </w:rPr>
      </w:pPr>
      <w:r w:rsidRPr="00D44091">
        <w:rPr>
          <w:i/>
          <w:sz w:val="22"/>
        </w:rPr>
        <w:t>My Commission Expires:</w:t>
      </w:r>
      <w:r w:rsidRPr="00D44091">
        <w:rPr>
          <w:i/>
          <w:sz w:val="22"/>
        </w:rPr>
        <w:tab/>
      </w:r>
      <w:r w:rsidRPr="00D44091">
        <w:rPr>
          <w:i/>
          <w:sz w:val="22"/>
        </w:rPr>
        <w:tab/>
      </w:r>
      <w:r w:rsidRPr="00D44091">
        <w:rPr>
          <w:i/>
          <w:sz w:val="22"/>
        </w:rPr>
        <w:tab/>
        <w:t>_______________________________</w:t>
      </w:r>
    </w:p>
    <w:p w14:paraId="6D4D1345" w14:textId="77777777" w:rsidR="0069164A" w:rsidRPr="00D44091" w:rsidRDefault="0069164A" w:rsidP="0069164A">
      <w:pPr>
        <w:ind w:left="1440"/>
        <w:jc w:val="both"/>
        <w:rPr>
          <w:i/>
          <w:sz w:val="22"/>
        </w:rPr>
      </w:pPr>
      <w:r w:rsidRPr="00D44091">
        <w:rPr>
          <w:i/>
          <w:sz w:val="22"/>
        </w:rPr>
        <w:t>Notary registration number:</w:t>
      </w:r>
      <w:r w:rsidRPr="00D44091">
        <w:rPr>
          <w:i/>
          <w:sz w:val="22"/>
        </w:rPr>
        <w:tab/>
      </w:r>
      <w:r w:rsidRPr="00D44091">
        <w:rPr>
          <w:i/>
          <w:sz w:val="22"/>
        </w:rPr>
        <w:tab/>
      </w:r>
      <w:r w:rsidRPr="00D44091">
        <w:rPr>
          <w:i/>
          <w:sz w:val="22"/>
        </w:rPr>
        <w:tab/>
        <w:t>Notary Public</w:t>
      </w:r>
    </w:p>
    <w:p w14:paraId="40E9374D" w14:textId="77777777" w:rsidR="0069164A" w:rsidRPr="00D44091" w:rsidRDefault="0069164A" w:rsidP="0069164A">
      <w:pPr>
        <w:ind w:left="1440"/>
        <w:jc w:val="both"/>
        <w:rPr>
          <w:i/>
          <w:sz w:val="22"/>
        </w:rPr>
      </w:pPr>
      <w:r w:rsidRPr="00D44091">
        <w:rPr>
          <w:i/>
          <w:sz w:val="22"/>
        </w:rPr>
        <w:t>Date of notarization:</w:t>
      </w:r>
    </w:p>
    <w:p w14:paraId="4DFB5AEA" w14:textId="77777777" w:rsidR="0069164A" w:rsidRPr="00D44091" w:rsidRDefault="0069164A" w:rsidP="0069164A">
      <w:pPr>
        <w:ind w:left="1440"/>
        <w:jc w:val="both"/>
        <w:rPr>
          <w:i/>
          <w:sz w:val="22"/>
        </w:rPr>
      </w:pPr>
      <w:r w:rsidRPr="00D44091">
        <w:rPr>
          <w:i/>
          <w:sz w:val="22"/>
        </w:rPr>
        <w:t>Place of notarization:</w:t>
      </w:r>
    </w:p>
    <w:p w14:paraId="42F1552B" w14:textId="77777777" w:rsidR="000D500C" w:rsidRPr="00EA77E3" w:rsidRDefault="000D500C" w:rsidP="001F4099">
      <w:pPr>
        <w:ind w:left="36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w:t>
      </w:r>
      <w:r w:rsidRPr="00EA77E3">
        <w:rPr>
          <w:sz w:val="24"/>
        </w:rPr>
        <w:lastRenderedPageBreak/>
        <w:t xml:space="preserve">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p w14:paraId="293E97A6" w14:textId="77777777" w:rsidR="00055824" w:rsidRPr="00EA77E3" w:rsidRDefault="00055824" w:rsidP="001F4099">
      <w:pPr>
        <w:jc w:val="both"/>
        <w:rPr>
          <w:sz w:val="24"/>
        </w:rPr>
      </w:pP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55AD7B5D"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4FF06DB4"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365EE9">
      <w:rPr>
        <w:rFonts w:eastAsiaTheme="minorEastAsia"/>
        <w:b/>
        <w:sz w:val="14"/>
        <w:szCs w:val="14"/>
      </w:rPr>
      <w:t>.4</w:t>
    </w:r>
    <w:r w:rsidR="008D28E3">
      <w:rPr>
        <w:rFonts w:eastAsiaTheme="minorEastAsia"/>
        <w:b/>
        <w:sz w:val="14"/>
        <w:szCs w:val="14"/>
      </w:rPr>
      <w:t>7</w:t>
    </w:r>
    <w:r w:rsidRPr="00A23988">
      <w:rPr>
        <w:rFonts w:eastAsiaTheme="minorEastAsia"/>
        <w:b/>
        <w:sz w:val="14"/>
        <w:szCs w:val="14"/>
      </w:rPr>
      <w:tab/>
    </w:r>
    <w:r w:rsidR="00DD65FC">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75010AC9" w:rsidR="00A23988" w:rsidRPr="00A23988" w:rsidRDefault="008D28E3" w:rsidP="00A23988">
    <w:pPr>
      <w:widowControl w:val="0"/>
      <w:tabs>
        <w:tab w:val="right" w:pos="9900"/>
      </w:tabs>
      <w:autoSpaceDE w:val="0"/>
      <w:autoSpaceDN w:val="0"/>
      <w:adjustRightInd w:val="0"/>
      <w:rPr>
        <w:rFonts w:eastAsiaTheme="minorEastAsia"/>
        <w:bCs/>
        <w:sz w:val="14"/>
        <w:szCs w:val="14"/>
      </w:rPr>
    </w:pPr>
    <w:r>
      <w:rPr>
        <w:b/>
        <w:sz w:val="14"/>
        <w:szCs w:val="14"/>
      </w:rPr>
      <w:t xml:space="preserve">VIRGINIA </w:t>
    </w:r>
    <w:r w:rsidR="00A23988" w:rsidRPr="00A23988">
      <w:rPr>
        <w:b/>
        <w:sz w:val="14"/>
        <w:szCs w:val="14"/>
      </w:rPr>
      <w:t>FIXED/</w:t>
    </w:r>
    <w:proofErr w:type="gramStart"/>
    <w:r w:rsidR="00A23988" w:rsidRPr="00A23988">
      <w:rPr>
        <w:b/>
        <w:sz w:val="14"/>
        <w:szCs w:val="14"/>
      </w:rPr>
      <w:t>ADJUSTABLE RATE</w:t>
    </w:r>
    <w:proofErr w:type="gramEnd"/>
    <w:r w:rsidR="00A23988" w:rsidRPr="00A23988">
      <w:rPr>
        <w:b/>
        <w:sz w:val="14"/>
        <w:szCs w:val="14"/>
      </w:rPr>
      <w:t xml:space="preserv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68A2FDD3"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40282"/>
    <w:rsid w:val="00186C04"/>
    <w:rsid w:val="001A2DE1"/>
    <w:rsid w:val="001D5043"/>
    <w:rsid w:val="001F4099"/>
    <w:rsid w:val="002003B9"/>
    <w:rsid w:val="00205053"/>
    <w:rsid w:val="0030379C"/>
    <w:rsid w:val="00365EE9"/>
    <w:rsid w:val="00380F0C"/>
    <w:rsid w:val="003940ED"/>
    <w:rsid w:val="003C4BDD"/>
    <w:rsid w:val="003D4071"/>
    <w:rsid w:val="003F61C4"/>
    <w:rsid w:val="00414804"/>
    <w:rsid w:val="00446638"/>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9164A"/>
    <w:rsid w:val="006B5D5D"/>
    <w:rsid w:val="00713527"/>
    <w:rsid w:val="0071606B"/>
    <w:rsid w:val="00747C01"/>
    <w:rsid w:val="007A36E3"/>
    <w:rsid w:val="007E575A"/>
    <w:rsid w:val="007F258B"/>
    <w:rsid w:val="007F5B3F"/>
    <w:rsid w:val="007F67E6"/>
    <w:rsid w:val="008A19FD"/>
    <w:rsid w:val="008D0A04"/>
    <w:rsid w:val="008D28E3"/>
    <w:rsid w:val="008F1330"/>
    <w:rsid w:val="00904E7F"/>
    <w:rsid w:val="009303F9"/>
    <w:rsid w:val="00931D99"/>
    <w:rsid w:val="009570CA"/>
    <w:rsid w:val="00970193"/>
    <w:rsid w:val="009A2B3B"/>
    <w:rsid w:val="009A70E8"/>
    <w:rsid w:val="00A23565"/>
    <w:rsid w:val="00A23988"/>
    <w:rsid w:val="00A33967"/>
    <w:rsid w:val="00AC325C"/>
    <w:rsid w:val="00B21D7D"/>
    <w:rsid w:val="00B4618A"/>
    <w:rsid w:val="00B509DD"/>
    <w:rsid w:val="00B653C7"/>
    <w:rsid w:val="00B771D7"/>
    <w:rsid w:val="00BA4C6E"/>
    <w:rsid w:val="00BC46ED"/>
    <w:rsid w:val="00BD11CD"/>
    <w:rsid w:val="00BE64B3"/>
    <w:rsid w:val="00C60061"/>
    <w:rsid w:val="00C63ACC"/>
    <w:rsid w:val="00CC5B13"/>
    <w:rsid w:val="00CD11DA"/>
    <w:rsid w:val="00CF44B3"/>
    <w:rsid w:val="00D02D0E"/>
    <w:rsid w:val="00D16852"/>
    <w:rsid w:val="00D274D2"/>
    <w:rsid w:val="00D522DF"/>
    <w:rsid w:val="00D92322"/>
    <w:rsid w:val="00D9639A"/>
    <w:rsid w:val="00DC164F"/>
    <w:rsid w:val="00DD65FC"/>
    <w:rsid w:val="00E00F07"/>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2024-03-05T22:27:00Z</dcterms:created>
  <dcterms:modified xsi:type="dcterms:W3CDTF">2024-03-05T22:28:00Z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2024-03-05T22:28:21Z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a2459e0c-a51f-42b2-a462-242bfb89fba9</vt:lpwstr>
  </property>
  <property fmtid="{D5CDD505-2E9C-101B-9397-08002B2CF9AE}" pid="8" name="MSIP_Label_4e20156e-8ff9-4098-bbf6-fbcae2f0b5f0_ContentBits">
    <vt:lpwstr>0</vt:lpwstr>
  </property>
</Properties>
</file>